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大标宋_GBK"/>
          <w:sz w:val="64"/>
          <w:szCs w:val="44"/>
        </w:rPr>
      </w:pPr>
      <w:bookmarkStart w:id="0" w:name="_Toc533624685"/>
    </w:p>
    <w:p>
      <w:pPr>
        <w:jc w:val="center"/>
        <w:rPr>
          <w:rFonts w:eastAsia="方正大标宋_GBK"/>
          <w:sz w:val="64"/>
          <w:szCs w:val="44"/>
        </w:rPr>
      </w:pPr>
      <w:r>
        <w:rPr>
          <w:rFonts w:hint="eastAsia" w:eastAsia="方正大标宋_GBK"/>
          <w:sz w:val="64"/>
          <w:szCs w:val="44"/>
        </w:rPr>
        <w:drawing>
          <wp:anchor distT="0" distB="0" distL="114300" distR="114300" simplePos="0" relativeHeight="251776000" behindDoc="0" locked="0" layoutInCell="1" allowOverlap="1">
            <wp:simplePos x="0" y="0"/>
            <wp:positionH relativeFrom="column">
              <wp:posOffset>2115185</wp:posOffset>
            </wp:positionH>
            <wp:positionV relativeFrom="paragraph">
              <wp:posOffset>287020</wp:posOffset>
            </wp:positionV>
            <wp:extent cx="1505585" cy="1502410"/>
            <wp:effectExtent l="0" t="0" r="18415" b="2540"/>
            <wp:wrapNone/>
            <wp:docPr id="1" name="图片 2" descr="青农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青农校徽"/>
                    <pic:cNvPicPr>
                      <a:picLocks noChangeAspect="1"/>
                    </pic:cNvPicPr>
                  </pic:nvPicPr>
                  <pic:blipFill>
                    <a:blip r:embed="rId6"/>
                    <a:stretch>
                      <a:fillRect/>
                    </a:stretch>
                  </pic:blipFill>
                  <pic:spPr>
                    <a:xfrm>
                      <a:off x="0" y="0"/>
                      <a:ext cx="1505585" cy="1502410"/>
                    </a:xfrm>
                    <a:prstGeom prst="rect">
                      <a:avLst/>
                    </a:prstGeom>
                    <a:noFill/>
                    <a:ln>
                      <a:noFill/>
                    </a:ln>
                  </pic:spPr>
                </pic:pic>
              </a:graphicData>
            </a:graphic>
          </wp:anchor>
        </w:drawing>
      </w:r>
    </w:p>
    <w:p>
      <w:pPr>
        <w:jc w:val="center"/>
        <w:rPr>
          <w:rFonts w:eastAsia="方正大标宋_GBK"/>
          <w:sz w:val="64"/>
          <w:szCs w:val="44"/>
        </w:rPr>
      </w:pPr>
    </w:p>
    <w:p>
      <w:pPr>
        <w:jc w:val="center"/>
        <w:rPr>
          <w:rFonts w:eastAsia="方正大标宋_GBK"/>
          <w:sz w:val="64"/>
          <w:szCs w:val="44"/>
        </w:rPr>
      </w:pPr>
    </w:p>
    <w:p>
      <w:pPr>
        <w:jc w:val="center"/>
        <w:rPr>
          <w:rFonts w:eastAsia="方正大标宋_GBK" w:cs="方正小标宋简体"/>
          <w:bCs/>
          <w:sz w:val="62"/>
          <w:szCs w:val="62"/>
        </w:rPr>
      </w:pPr>
      <w:r>
        <w:rPr>
          <w:rFonts w:hint="eastAsia" w:eastAsia="方正大标宋_GBK"/>
          <w:bCs/>
          <w:sz w:val="62"/>
          <w:szCs w:val="62"/>
        </w:rPr>
        <w:t>青岛农业大学</w:t>
      </w:r>
    </w:p>
    <w:p>
      <w:pPr>
        <w:jc w:val="center"/>
        <w:rPr>
          <w:rFonts w:eastAsia="方正大标宋_GBK" w:cs="方正小标宋简体"/>
          <w:bCs/>
          <w:sz w:val="62"/>
          <w:szCs w:val="62"/>
        </w:rPr>
      </w:pPr>
      <w:r>
        <w:rPr>
          <w:rFonts w:hint="eastAsia" w:eastAsia="方正大标宋_GBK" w:cs="方正小标宋简体"/>
          <w:bCs/>
          <w:sz w:val="62"/>
          <w:szCs w:val="62"/>
        </w:rPr>
        <w:t>2019-2020学年专业人才</w:t>
      </w:r>
    </w:p>
    <w:p>
      <w:pPr>
        <w:jc w:val="center"/>
        <w:rPr>
          <w:rFonts w:eastAsia="方正大标宋_GBK"/>
          <w:bCs/>
          <w:sz w:val="62"/>
          <w:szCs w:val="62"/>
        </w:rPr>
      </w:pPr>
      <w:r>
        <w:rPr>
          <w:rFonts w:hint="eastAsia" w:eastAsia="方正大标宋_GBK" w:cs="方正小标宋简体"/>
          <w:bCs/>
          <w:sz w:val="62"/>
          <w:szCs w:val="62"/>
        </w:rPr>
        <w:t>培养状况报告</w:t>
      </w:r>
    </w:p>
    <w:p>
      <w:pPr>
        <w:spacing w:line="400" w:lineRule="exact"/>
        <w:rPr>
          <w:rFonts w:eastAsia="方正小标宋简体"/>
          <w:sz w:val="44"/>
          <w:szCs w:val="44"/>
        </w:rPr>
      </w:pPr>
    </w:p>
    <w:p>
      <w:pPr>
        <w:spacing w:line="400" w:lineRule="exact"/>
        <w:rPr>
          <w:rFonts w:eastAsia="方正小标宋简体"/>
          <w:sz w:val="44"/>
          <w:szCs w:val="44"/>
        </w:rPr>
      </w:pPr>
    </w:p>
    <w:p>
      <w:pPr>
        <w:jc w:val="center"/>
        <w:rPr>
          <w:rFonts w:eastAsia="黑体"/>
          <w:sz w:val="48"/>
          <w:szCs w:val="48"/>
        </w:rPr>
      </w:pPr>
      <w:r>
        <w:rPr>
          <w:rFonts w:hint="eastAsia" w:eastAsia="黑体"/>
          <w:sz w:val="48"/>
          <w:szCs w:val="48"/>
        </w:rPr>
        <w:t>专科专业部分</w:t>
      </w: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spacing w:line="400" w:lineRule="exact"/>
        <w:rPr>
          <w:rFonts w:eastAsia="方正小标宋简体"/>
          <w:sz w:val="44"/>
          <w:szCs w:val="44"/>
        </w:rPr>
      </w:pPr>
    </w:p>
    <w:p>
      <w:pPr>
        <w:jc w:val="center"/>
        <w:rPr>
          <w:rFonts w:eastAsia="黑体" w:cs="黑体"/>
          <w:sz w:val="40"/>
          <w:szCs w:val="32"/>
        </w:rPr>
        <w:sectPr>
          <w:pgSz w:w="11906" w:h="16838"/>
          <w:pgMar w:top="1417" w:right="1417" w:bottom="1417" w:left="1417" w:header="851" w:footer="992" w:gutter="0"/>
          <w:cols w:space="0" w:num="1"/>
          <w:docGrid w:type="lines" w:linePitch="333" w:charSpace="0"/>
        </w:sectPr>
      </w:pPr>
      <w:r>
        <w:rPr>
          <w:rFonts w:hint="eastAsia" w:eastAsia="黑体" w:cs="黑体"/>
          <w:sz w:val="40"/>
          <w:szCs w:val="32"/>
        </w:rPr>
        <w:t>2020年12月</w:t>
      </w:r>
    </w:p>
    <w:p>
      <w:pPr>
        <w:jc w:val="center"/>
        <w:rPr>
          <w:rFonts w:eastAsia="黑体"/>
          <w:sz w:val="44"/>
          <w:szCs w:val="44"/>
        </w:rPr>
      </w:pPr>
      <w:r>
        <w:rPr>
          <w:rFonts w:hint="eastAsia" w:eastAsia="黑体"/>
          <w:sz w:val="44"/>
          <w:szCs w:val="44"/>
        </w:rPr>
        <w:t>目录</w:t>
      </w:r>
    </w:p>
    <w:sdt>
      <w:sdtPr>
        <w:rPr>
          <w:lang w:val="zh-CN"/>
        </w:rPr>
        <w:id w:val="-1995242113"/>
        <w:showingPlcHdr/>
        <w:docPartObj>
          <w:docPartGallery w:val="Table of Contents"/>
          <w:docPartUnique/>
        </w:docPartObj>
      </w:sdtPr>
      <w:sdtEndPr>
        <w:rPr>
          <w:b/>
          <w:bCs/>
          <w:sz w:val="24"/>
          <w:lang w:val="zh-CN"/>
        </w:rPr>
      </w:sdtEndPr>
      <w:sdtContent>
        <w:p>
          <w:pPr>
            <w:spacing w:line="480" w:lineRule="exact"/>
            <w:rPr>
              <w:sz w:val="24"/>
            </w:rPr>
          </w:pPr>
        </w:p>
      </w:sdtContent>
    </w:sdt>
    <w:p>
      <w:pPr>
        <w:pStyle w:val="22"/>
        <w:tabs>
          <w:tab w:val="right" w:leader="dot" w:pos="9072"/>
          <w:tab w:val="clear" w:pos="8302"/>
        </w:tabs>
        <w:spacing w:line="480" w:lineRule="exact"/>
        <w:rPr>
          <w:rFonts w:ascii="Times New Roman" w:eastAsia="宋体" w:cs="宋体"/>
          <w:sz w:val="24"/>
        </w:rPr>
      </w:pPr>
      <w:r>
        <w:rPr>
          <w:rFonts w:ascii="Times New Roman"/>
          <w:sz w:val="24"/>
        </w:rPr>
        <w:fldChar w:fldCharType="begin"/>
      </w:r>
      <w:r>
        <w:rPr>
          <w:rFonts w:ascii="Times New Roman"/>
          <w:sz w:val="24"/>
        </w:rPr>
        <w:instrText xml:space="preserve">TOC \o "1-3" \h \u </w:instrText>
      </w:r>
      <w:r>
        <w:rPr>
          <w:rFonts w:ascii="Times New Roman"/>
          <w:sz w:val="24"/>
        </w:rPr>
        <w:fldChar w:fldCharType="separate"/>
      </w:r>
      <w:r>
        <w:fldChar w:fldCharType="begin"/>
      </w:r>
      <w:r>
        <w:instrText xml:space="preserve"> HYPERLINK \l "_Toc2987" </w:instrText>
      </w:r>
      <w:r>
        <w:fldChar w:fldCharType="separate"/>
      </w:r>
      <w:r>
        <w:rPr>
          <w:rFonts w:hint="eastAsia" w:ascii="Times New Roman" w:eastAsia="宋体" w:cs="宋体"/>
          <w:sz w:val="24"/>
        </w:rPr>
        <w:t>2019-2020学年商务英语专业人才培养报告</w:t>
      </w:r>
      <w:r>
        <w:rPr>
          <w:rFonts w:hint="eastAsia" w:ascii="Times New Roman" w:eastAsia="宋体" w:cs="宋体"/>
          <w:sz w:val="24"/>
        </w:rPr>
        <w:tab/>
      </w:r>
      <w:r>
        <w:rPr>
          <w:rFonts w:hint="eastAsia" w:ascii="Times New Roman" w:eastAsia="宋体" w:cs="宋体"/>
          <w:sz w:val="24"/>
        </w:rPr>
        <w:fldChar w:fldCharType="begin"/>
      </w:r>
      <w:r>
        <w:rPr>
          <w:rFonts w:hint="eastAsia" w:ascii="Times New Roman" w:eastAsia="宋体" w:cs="宋体"/>
          <w:sz w:val="24"/>
        </w:rPr>
        <w:instrText xml:space="preserve"> PAGEREF _Toc2987 </w:instrText>
      </w:r>
      <w:r>
        <w:rPr>
          <w:rFonts w:hint="eastAsia" w:ascii="Times New Roman" w:eastAsia="宋体" w:cs="宋体"/>
          <w:sz w:val="24"/>
        </w:rPr>
        <w:fldChar w:fldCharType="separate"/>
      </w:r>
      <w:r>
        <w:rPr>
          <w:rFonts w:hint="eastAsia" w:ascii="Times New Roman" w:eastAsia="宋体" w:cs="宋体"/>
          <w:sz w:val="24"/>
        </w:rPr>
        <w:t>1</w:t>
      </w:r>
      <w:r>
        <w:rPr>
          <w:rFonts w:hint="eastAsia" w:ascii="Times New Roman" w:eastAsia="宋体" w:cs="宋体"/>
          <w:sz w:val="24"/>
        </w:rPr>
        <w:fldChar w:fldCharType="end"/>
      </w:r>
      <w:r>
        <w:rPr>
          <w:rFonts w:hint="eastAsia" w:ascii="Times New Roman" w:eastAsia="宋体" w:cs="宋体"/>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"_Toc7411" </w:instrText>
      </w:r>
      <w:r>
        <w:fldChar w:fldCharType="separate"/>
      </w:r>
      <w:r>
        <w:rPr>
          <w:rFonts w:hint="eastAsia"/>
          <w:sz w:val="24"/>
        </w:rPr>
        <w:t>一、培养目标与规格</w:t>
      </w:r>
      <w:r>
        <w:rPr>
          <w:sz w:val="24"/>
        </w:rPr>
        <w:tab/>
      </w:r>
      <w:r>
        <w:rPr>
          <w:sz w:val="24"/>
        </w:rPr>
        <w:fldChar w:fldCharType="begin"/>
      </w:r>
      <w:r>
        <w:rPr>
          <w:sz w:val="24"/>
        </w:rPr>
        <w:instrText xml:space="preserve"> PAGEREF _Toc7411 </w:instrText>
      </w:r>
      <w:r>
        <w:rPr>
          <w:sz w:val="24"/>
        </w:rPr>
        <w:fldChar w:fldCharType="separate"/>
      </w:r>
      <w:r>
        <w:rPr>
          <w:sz w:val="24"/>
        </w:rPr>
        <w:t>1</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"_Toc11798" </w:instrText>
      </w:r>
      <w:r>
        <w:fldChar w:fldCharType="separate"/>
      </w:r>
      <w:r>
        <w:rPr>
          <w:rFonts w:hint="eastAsia" w:ascii="Times New Roman" w:hAnsi="Times New Roman"/>
          <w:sz w:val="24"/>
          <w:szCs w:val="24"/>
        </w:rPr>
        <w:t>（一）培养目标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_Toc11798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"_Toc32492" </w:instrText>
      </w:r>
      <w:r>
        <w:fldChar w:fldCharType="separate"/>
      </w:r>
      <w:r>
        <w:rPr>
          <w:rFonts w:hint="eastAsia" w:ascii="Times New Roman" w:hAnsi="Times New Roman"/>
          <w:sz w:val="24"/>
          <w:szCs w:val="24"/>
        </w:rPr>
        <w:t>（二）培养规格</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_Toc32492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"_Toc17949" </w:instrText>
      </w:r>
      <w:r>
        <w:fldChar w:fldCharType="separate"/>
      </w:r>
      <w:r>
        <w:rPr>
          <w:rFonts w:hint="eastAsia"/>
          <w:sz w:val="24"/>
        </w:rPr>
        <w:t>二、培养能力</w:t>
      </w:r>
      <w:r>
        <w:rPr>
          <w:sz w:val="24"/>
        </w:rPr>
        <w:tab/>
      </w:r>
      <w:r>
        <w:rPr>
          <w:sz w:val="24"/>
        </w:rPr>
        <w:fldChar w:fldCharType="begin"/>
      </w:r>
      <w:r>
        <w:rPr>
          <w:sz w:val="24"/>
        </w:rPr>
        <w:instrText xml:space="preserve"> PAGEREF _Toc17949 </w:instrText>
      </w:r>
      <w:r>
        <w:rPr>
          <w:sz w:val="24"/>
        </w:rPr>
        <w:fldChar w:fldCharType="separate"/>
      </w:r>
      <w:r>
        <w:rPr>
          <w:sz w:val="24"/>
        </w:rPr>
        <w:t>1</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"_Toc12319" </w:instrText>
      </w:r>
      <w:r>
        <w:fldChar w:fldCharType="separate"/>
      </w:r>
      <w:r>
        <w:rPr>
          <w:rFonts w:hint="eastAsia" w:ascii="Times New Roman" w:hAnsi="Times New Roman"/>
          <w:sz w:val="24"/>
          <w:szCs w:val="24"/>
        </w:rPr>
        <w:t>（一）专业设置情况及在校生规模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_Toc12319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"_Toc11591" </w:instrText>
      </w:r>
      <w:r>
        <w:fldChar w:fldCharType="separate"/>
      </w:r>
      <w:r>
        <w:rPr>
          <w:rFonts w:hint="eastAsia" w:ascii="Times New Roman" w:hAnsi="Times New Roman"/>
          <w:sz w:val="24"/>
          <w:szCs w:val="24"/>
        </w:rPr>
        <w:t>（二）课程设置情况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_Toc11591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"_Toc22133" </w:instrText>
      </w:r>
      <w:r>
        <w:fldChar w:fldCharType="separate"/>
      </w:r>
      <w:r>
        <w:rPr>
          <w:rFonts w:hint="eastAsia" w:ascii="Times New Roman" w:hAnsi="Times New Roman"/>
          <w:sz w:val="24"/>
          <w:szCs w:val="24"/>
        </w:rPr>
        <w:t>（三）创新创业教育</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_Toc22133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"_Toc17008" </w:instrText>
      </w:r>
      <w:r>
        <w:fldChar w:fldCharType="separate"/>
      </w:r>
      <w:r>
        <w:rPr>
          <w:rFonts w:hint="eastAsia"/>
          <w:sz w:val="24"/>
        </w:rPr>
        <w:t>三、培养条件</w:t>
      </w:r>
      <w:r>
        <w:rPr>
          <w:sz w:val="24"/>
        </w:rPr>
        <w:tab/>
      </w:r>
      <w:r>
        <w:rPr>
          <w:sz w:val="24"/>
        </w:rPr>
        <w:fldChar w:fldCharType="begin"/>
      </w:r>
      <w:r>
        <w:rPr>
          <w:sz w:val="24"/>
        </w:rPr>
        <w:instrText xml:space="preserve"> PAGEREF _Toc17008 </w:instrText>
      </w:r>
      <w:r>
        <w:rPr>
          <w:sz w:val="24"/>
        </w:rPr>
        <w:fldChar w:fldCharType="separate"/>
      </w:r>
      <w:r>
        <w:rPr>
          <w:sz w:val="24"/>
        </w:rPr>
        <w:t>3</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"_Toc11166" </w:instrText>
      </w:r>
      <w:r>
        <w:fldChar w:fldCharType="separate"/>
      </w:r>
      <w:r>
        <w:rPr>
          <w:rFonts w:hint="eastAsia" w:ascii="Times New Roman" w:hAnsi="Times New Roman"/>
          <w:sz w:val="24"/>
          <w:szCs w:val="24"/>
        </w:rPr>
        <w:t>（一）教学经费投入及教学设备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_Toc11166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"_Toc32162" </w:instrText>
      </w:r>
      <w:r>
        <w:fldChar w:fldCharType="separate"/>
      </w:r>
      <w:r>
        <w:rPr>
          <w:rFonts w:hint="eastAsia" w:ascii="Times New Roman" w:hAnsi="Times New Roman"/>
          <w:sz w:val="24"/>
          <w:szCs w:val="24"/>
        </w:rPr>
        <w:t>（二）教师队伍建设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_Toc32162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"_Toc24602" </w:instrText>
      </w:r>
      <w:r>
        <w:fldChar w:fldCharType="separate"/>
      </w:r>
      <w:r>
        <w:rPr>
          <w:rFonts w:hint="eastAsia" w:ascii="Times New Roman" w:hAnsi="Times New Roman"/>
          <w:sz w:val="24"/>
          <w:szCs w:val="24"/>
        </w:rPr>
        <w:t>（三）信息化建设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_Toc24602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"_Toc27542" </w:instrText>
      </w:r>
      <w:r>
        <w:fldChar w:fldCharType="separate"/>
      </w:r>
      <w:r>
        <w:rPr>
          <w:rFonts w:hint="eastAsia"/>
          <w:sz w:val="24"/>
        </w:rPr>
        <w:t>四、培养机制与特色</w:t>
      </w:r>
      <w:r>
        <w:rPr>
          <w:sz w:val="24"/>
        </w:rPr>
        <w:tab/>
      </w:r>
      <w:r>
        <w:rPr>
          <w:sz w:val="24"/>
        </w:rPr>
        <w:fldChar w:fldCharType="begin"/>
      </w:r>
      <w:r>
        <w:rPr>
          <w:sz w:val="24"/>
        </w:rPr>
        <w:instrText xml:space="preserve"> PAGEREF _Toc27542 </w:instrText>
      </w:r>
      <w:r>
        <w:rPr>
          <w:sz w:val="24"/>
        </w:rPr>
        <w:fldChar w:fldCharType="separate"/>
      </w:r>
      <w:r>
        <w:rPr>
          <w:sz w:val="24"/>
        </w:rPr>
        <w:t>5</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"_Toc15145" </w:instrText>
      </w:r>
      <w:r>
        <w:fldChar w:fldCharType="separate"/>
      </w:r>
      <w:r>
        <w:rPr>
          <w:rFonts w:hint="eastAsia" w:ascii="Times New Roman" w:hAnsi="Times New Roman"/>
          <w:sz w:val="24"/>
          <w:szCs w:val="24"/>
        </w:rPr>
        <w:t>（一）强化专业办学思路</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_Toc15145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"_Toc5706" </w:instrText>
      </w:r>
      <w:r>
        <w:fldChar w:fldCharType="separate"/>
      </w:r>
      <w:r>
        <w:rPr>
          <w:rFonts w:hint="eastAsia" w:ascii="Times New Roman" w:hAnsi="Times New Roman"/>
          <w:sz w:val="24"/>
          <w:szCs w:val="24"/>
        </w:rPr>
        <w:t>（二）强化实践教学</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_Toc5706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"_Toc1929" </w:instrText>
      </w:r>
      <w:r>
        <w:fldChar w:fldCharType="separate"/>
      </w:r>
      <w:r>
        <w:rPr>
          <w:rFonts w:hint="eastAsia" w:ascii="Times New Roman" w:hAnsi="Times New Roman"/>
          <w:sz w:val="24"/>
          <w:szCs w:val="24"/>
        </w:rPr>
        <w:t>（三）培养学生的国际视野和人文情怀</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_Toc1929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"_Toc19288" </w:instrText>
      </w:r>
      <w:r>
        <w:fldChar w:fldCharType="separate"/>
      </w:r>
      <w:r>
        <w:rPr>
          <w:rFonts w:hint="eastAsia" w:ascii="Times New Roman" w:hAnsi="Times New Roman"/>
          <w:sz w:val="24"/>
          <w:szCs w:val="24"/>
        </w:rPr>
        <w:t>（四）强化教学管理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_Toc19288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"_Toc6901" </w:instrText>
      </w:r>
      <w:r>
        <w:fldChar w:fldCharType="separate"/>
      </w:r>
      <w:r>
        <w:rPr>
          <w:rFonts w:hint="eastAsia"/>
          <w:sz w:val="24"/>
        </w:rPr>
        <w:t>五、培养质量</w:t>
      </w:r>
      <w:r>
        <w:rPr>
          <w:sz w:val="24"/>
        </w:rPr>
        <w:tab/>
      </w:r>
      <w:r>
        <w:rPr>
          <w:sz w:val="24"/>
        </w:rPr>
        <w:fldChar w:fldCharType="begin"/>
      </w:r>
      <w:r>
        <w:rPr>
          <w:sz w:val="24"/>
        </w:rPr>
        <w:instrText xml:space="preserve"> PAGEREF _Toc6901 </w:instrText>
      </w:r>
      <w:r>
        <w:rPr>
          <w:sz w:val="24"/>
        </w:rPr>
        <w:fldChar w:fldCharType="separate"/>
      </w:r>
      <w:r>
        <w:rPr>
          <w:sz w:val="24"/>
        </w:rPr>
        <w:t>6</w:t>
      </w:r>
      <w:r>
        <w:rPr>
          <w:sz w:val="24"/>
        </w:rPr>
        <w:fldChar w:fldCharType="end"/>
      </w:r>
      <w:r>
        <w:rPr>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"_Toc30191" </w:instrText>
      </w:r>
      <w:r>
        <w:fldChar w:fldCharType="separate"/>
      </w:r>
      <w:r>
        <w:rPr>
          <w:rFonts w:hint="eastAsia"/>
          <w:sz w:val="24"/>
        </w:rPr>
        <w:t>六、毕业生就业创业</w:t>
      </w:r>
      <w:r>
        <w:rPr>
          <w:sz w:val="24"/>
        </w:rPr>
        <w:tab/>
      </w:r>
      <w:r>
        <w:rPr>
          <w:sz w:val="24"/>
        </w:rPr>
        <w:fldChar w:fldCharType="begin"/>
      </w:r>
      <w:r>
        <w:rPr>
          <w:sz w:val="24"/>
        </w:rPr>
        <w:instrText xml:space="preserve"> PAGEREF _Toc30191 </w:instrText>
      </w:r>
      <w:r>
        <w:rPr>
          <w:sz w:val="24"/>
        </w:rPr>
        <w:fldChar w:fldCharType="separate"/>
      </w:r>
      <w:r>
        <w:rPr>
          <w:sz w:val="24"/>
        </w:rPr>
        <w:t>6</w:t>
      </w:r>
      <w:r>
        <w:rPr>
          <w:sz w:val="24"/>
        </w:rPr>
        <w:fldChar w:fldCharType="end"/>
      </w:r>
      <w:r>
        <w:rPr>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"_Toc30395" </w:instrText>
      </w:r>
      <w:r>
        <w:fldChar w:fldCharType="separate"/>
      </w:r>
      <w:r>
        <w:rPr>
          <w:rFonts w:hint="eastAsia"/>
          <w:sz w:val="24"/>
        </w:rPr>
        <w:t>七、专业人才社会需求分析及专业发展趋势分析</w:t>
      </w:r>
      <w:r>
        <w:rPr>
          <w:sz w:val="24"/>
        </w:rPr>
        <w:tab/>
      </w:r>
      <w:r>
        <w:rPr>
          <w:sz w:val="24"/>
        </w:rPr>
        <w:fldChar w:fldCharType="begin"/>
      </w:r>
      <w:r>
        <w:rPr>
          <w:sz w:val="24"/>
        </w:rPr>
        <w:instrText xml:space="preserve"> PAGEREF _Toc30395 </w:instrText>
      </w:r>
      <w:r>
        <w:rPr>
          <w:sz w:val="24"/>
        </w:rPr>
        <w:fldChar w:fldCharType="separate"/>
      </w:r>
      <w:r>
        <w:rPr>
          <w:sz w:val="24"/>
        </w:rPr>
        <w:t>6</w:t>
      </w:r>
      <w:r>
        <w:rPr>
          <w:sz w:val="24"/>
        </w:rPr>
        <w:fldChar w:fldCharType="end"/>
      </w:r>
      <w:r>
        <w:rPr>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"_Toc12698" </w:instrText>
      </w:r>
      <w:r>
        <w:fldChar w:fldCharType="separate"/>
      </w:r>
      <w:r>
        <w:rPr>
          <w:rFonts w:hint="eastAsia"/>
          <w:sz w:val="24"/>
        </w:rPr>
        <w:t>八、存在的问题及整改措施</w:t>
      </w:r>
      <w:r>
        <w:rPr>
          <w:sz w:val="24"/>
        </w:rPr>
        <w:tab/>
      </w:r>
      <w:r>
        <w:rPr>
          <w:sz w:val="24"/>
        </w:rPr>
        <w:fldChar w:fldCharType="begin"/>
      </w:r>
      <w:r>
        <w:rPr>
          <w:sz w:val="24"/>
        </w:rPr>
        <w:instrText xml:space="preserve"> PAGEREF _Toc12698 </w:instrText>
      </w:r>
      <w:r>
        <w:rPr>
          <w:sz w:val="24"/>
        </w:rPr>
        <w:fldChar w:fldCharType="separate"/>
      </w:r>
      <w:r>
        <w:rPr>
          <w:sz w:val="24"/>
        </w:rPr>
        <w:t>7</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"_Toc12773" </w:instrText>
      </w:r>
      <w:r>
        <w:fldChar w:fldCharType="separate"/>
      </w:r>
      <w:r>
        <w:rPr>
          <w:rFonts w:hint="eastAsia" w:ascii="Times New Roman" w:hAnsi="Times New Roman"/>
          <w:sz w:val="24"/>
          <w:szCs w:val="24"/>
        </w:rPr>
        <w:t>（一）存在的问题</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_Toc12773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"_Toc9274" </w:instrText>
      </w:r>
      <w:r>
        <w:fldChar w:fldCharType="separate"/>
      </w:r>
      <w:r>
        <w:rPr>
          <w:rFonts w:hint="eastAsia" w:ascii="Times New Roman" w:hAnsi="Times New Roman"/>
          <w:sz w:val="24"/>
          <w:szCs w:val="24"/>
        </w:rPr>
        <w:t>（二）</w:t>
      </w:r>
      <w:r>
        <w:rPr>
          <w:rFonts w:ascii="Times New Roman" w:hAnsi="Times New Roman"/>
          <w:sz w:val="24"/>
          <w:szCs w:val="24"/>
        </w:rPr>
        <w:t>整改措施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_Toc9274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pPr>
        <w:pStyle w:val="22"/>
        <w:tabs>
          <w:tab w:val="right" w:leader="dot" w:pos="9072"/>
          <w:tab w:val="clear" w:pos="8302"/>
        </w:tabs>
        <w:spacing w:line="480" w:lineRule="exact"/>
        <w:rPr>
          <w:rFonts w:ascii="Times New Roman" w:eastAsia="宋体" w:cs="宋体"/>
          <w:sz w:val="24"/>
        </w:rPr>
      </w:pPr>
      <w:r>
        <w:fldChar w:fldCharType="begin"/>
      </w:r>
      <w:r>
        <w:instrText xml:space="preserve"> HYPERLINK \l "_Toc24801" </w:instrText>
      </w:r>
      <w:r>
        <w:fldChar w:fldCharType="separate"/>
      </w:r>
      <w:r>
        <w:rPr>
          <w:rFonts w:hint="eastAsia" w:ascii="Times New Roman" w:eastAsia="宋体" w:cs="宋体"/>
          <w:sz w:val="24"/>
        </w:rPr>
        <w:t>2019-2020学年国际经济与贸易专业人才培养报告</w:t>
      </w:r>
      <w:r>
        <w:rPr>
          <w:rFonts w:hint="eastAsia" w:ascii="Times New Roman" w:eastAsia="宋体" w:cs="宋体"/>
          <w:sz w:val="24"/>
        </w:rPr>
        <w:tab/>
      </w:r>
      <w:r>
        <w:rPr>
          <w:rFonts w:hint="eastAsia" w:ascii="Times New Roman" w:eastAsia="宋体" w:cs="宋体"/>
          <w:sz w:val="24"/>
        </w:rPr>
        <w:fldChar w:fldCharType="begin"/>
      </w:r>
      <w:r>
        <w:rPr>
          <w:rFonts w:hint="eastAsia" w:ascii="Times New Roman" w:eastAsia="宋体" w:cs="宋体"/>
          <w:sz w:val="24"/>
        </w:rPr>
        <w:instrText xml:space="preserve"> PAGEREF _Toc24801 </w:instrText>
      </w:r>
      <w:r>
        <w:rPr>
          <w:rFonts w:hint="eastAsia" w:ascii="Times New Roman" w:eastAsia="宋体" w:cs="宋体"/>
          <w:sz w:val="24"/>
        </w:rPr>
        <w:fldChar w:fldCharType="separate"/>
      </w:r>
      <w:r>
        <w:rPr>
          <w:rFonts w:hint="eastAsia" w:ascii="Times New Roman" w:eastAsia="宋体" w:cs="宋体"/>
          <w:sz w:val="24"/>
        </w:rPr>
        <w:t>9</w:t>
      </w:r>
      <w:r>
        <w:rPr>
          <w:rFonts w:hint="eastAsia" w:ascii="Times New Roman" w:eastAsia="宋体" w:cs="宋体"/>
          <w:sz w:val="24"/>
        </w:rPr>
        <w:fldChar w:fldCharType="end"/>
      </w:r>
      <w:r>
        <w:rPr>
          <w:rFonts w:hint="eastAsia" w:ascii="Times New Roman" w:eastAsia="宋体" w:cs="宋体"/>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"_Toc7166" </w:instrText>
      </w:r>
      <w:r>
        <w:fldChar w:fldCharType="separate"/>
      </w:r>
      <w:r>
        <w:rPr>
          <w:rFonts w:hint="eastAsia"/>
          <w:sz w:val="24"/>
        </w:rPr>
        <w:t>一、培养目标与规格</w:t>
      </w:r>
      <w:r>
        <w:rPr>
          <w:sz w:val="24"/>
        </w:rPr>
        <w:tab/>
      </w:r>
      <w:r>
        <w:rPr>
          <w:sz w:val="24"/>
        </w:rPr>
        <w:fldChar w:fldCharType="begin"/>
      </w:r>
      <w:r>
        <w:rPr>
          <w:sz w:val="24"/>
        </w:rPr>
        <w:instrText xml:space="preserve"> PAGEREF _Toc7166 </w:instrText>
      </w:r>
      <w:r>
        <w:rPr>
          <w:sz w:val="24"/>
        </w:rPr>
        <w:fldChar w:fldCharType="separate"/>
      </w:r>
      <w:r>
        <w:rPr>
          <w:sz w:val="24"/>
        </w:rPr>
        <w:t>9</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"_Toc25196" </w:instrText>
      </w:r>
      <w:r>
        <w:fldChar w:fldCharType="separate"/>
      </w:r>
      <w:r>
        <w:rPr>
          <w:rFonts w:hint="eastAsia" w:ascii="Times New Roman" w:hAnsi="Times New Roman"/>
          <w:sz w:val="24"/>
          <w:szCs w:val="24"/>
        </w:rPr>
        <w:t>（一）培养目标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_Toc25196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"_Toc17666" </w:instrText>
      </w:r>
      <w:r>
        <w:fldChar w:fldCharType="separate"/>
      </w:r>
      <w:r>
        <w:rPr>
          <w:rFonts w:hint="eastAsia" w:ascii="Times New Roman" w:hAnsi="Times New Roman"/>
          <w:sz w:val="24"/>
          <w:szCs w:val="24"/>
          <w:lang w:val="zh-TW"/>
        </w:rPr>
        <w:t>（二）</w:t>
      </w:r>
      <w:r>
        <w:rPr>
          <w:rFonts w:hint="eastAsia" w:ascii="Times New Roman" w:hAnsi="Times New Roman"/>
          <w:sz w:val="24"/>
          <w:szCs w:val="24"/>
          <w:lang w:val="zh-TW" w:eastAsia="zh-TW"/>
        </w:rPr>
        <w:t>培养规格</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_Toc17666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"_Toc25618" </w:instrText>
      </w:r>
      <w:r>
        <w:fldChar w:fldCharType="separate"/>
      </w:r>
      <w:r>
        <w:rPr>
          <w:rFonts w:hint="eastAsia"/>
          <w:sz w:val="24"/>
          <w:lang w:val="zh-TW"/>
        </w:rPr>
        <w:t>二、培养能力</w:t>
      </w:r>
      <w:r>
        <w:rPr>
          <w:sz w:val="24"/>
        </w:rPr>
        <w:tab/>
      </w:r>
      <w:r>
        <w:rPr>
          <w:sz w:val="24"/>
        </w:rPr>
        <w:fldChar w:fldCharType="begin"/>
      </w:r>
      <w:r>
        <w:rPr>
          <w:sz w:val="24"/>
        </w:rPr>
        <w:instrText xml:space="preserve"> PAGEREF _Toc25618 </w:instrText>
      </w:r>
      <w:r>
        <w:rPr>
          <w:sz w:val="24"/>
        </w:rPr>
        <w:fldChar w:fldCharType="separate"/>
      </w:r>
      <w:r>
        <w:rPr>
          <w:sz w:val="24"/>
        </w:rPr>
        <w:t>10</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"_Toc14619" </w:instrText>
      </w:r>
      <w:r>
        <w:fldChar w:fldCharType="separate"/>
      </w:r>
      <w:r>
        <w:rPr>
          <w:rFonts w:hint="eastAsia" w:ascii="Times New Roman" w:hAnsi="Times New Roman"/>
          <w:sz w:val="24"/>
          <w:szCs w:val="24"/>
          <w:lang w:val="zh-TW"/>
        </w:rPr>
        <w:t>（一）专业设置情况及在校生规模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_Toc14619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"_Toc20290" </w:instrText>
      </w:r>
      <w:r>
        <w:fldChar w:fldCharType="separate"/>
      </w:r>
      <w:r>
        <w:rPr>
          <w:rFonts w:hint="eastAsia" w:ascii="Times New Roman" w:hAnsi="Times New Roman"/>
          <w:sz w:val="24"/>
          <w:szCs w:val="24"/>
          <w:lang w:val="zh-TW"/>
        </w:rPr>
        <w:t>（二）课程设置情况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_Toc20290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"_Toc2362" </w:instrText>
      </w:r>
      <w:r>
        <w:fldChar w:fldCharType="separate"/>
      </w:r>
      <w:r>
        <w:rPr>
          <w:rFonts w:hint="eastAsia"/>
          <w:sz w:val="24"/>
          <w:lang w:val="zh-TW"/>
        </w:rPr>
        <w:t>三、培养条件</w:t>
      </w:r>
      <w:r>
        <w:rPr>
          <w:sz w:val="24"/>
        </w:rPr>
        <w:tab/>
      </w:r>
      <w:r>
        <w:rPr>
          <w:sz w:val="24"/>
        </w:rPr>
        <w:fldChar w:fldCharType="begin"/>
      </w:r>
      <w:r>
        <w:rPr>
          <w:sz w:val="24"/>
        </w:rPr>
        <w:instrText xml:space="preserve"> PAGEREF _Toc2362 </w:instrText>
      </w:r>
      <w:r>
        <w:rPr>
          <w:sz w:val="24"/>
        </w:rPr>
        <w:fldChar w:fldCharType="separate"/>
      </w:r>
      <w:r>
        <w:rPr>
          <w:sz w:val="24"/>
        </w:rPr>
        <w:t>12</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"_Toc29053" </w:instrText>
      </w:r>
      <w:r>
        <w:fldChar w:fldCharType="separate"/>
      </w:r>
      <w:r>
        <w:rPr>
          <w:rFonts w:hint="eastAsia" w:ascii="Times New Roman" w:hAnsi="Times New Roman"/>
          <w:sz w:val="24"/>
          <w:szCs w:val="24"/>
          <w:lang w:val="zh-TW"/>
        </w:rPr>
        <w:t>（一）教学经费投入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_Toc29053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"_Toc5090" </w:instrText>
      </w:r>
      <w:r>
        <w:fldChar w:fldCharType="separate"/>
      </w:r>
      <w:r>
        <w:rPr>
          <w:rFonts w:hint="eastAsia" w:ascii="Times New Roman" w:hAnsi="Times New Roman"/>
          <w:sz w:val="24"/>
          <w:szCs w:val="24"/>
          <w:lang w:val="zh-TW"/>
        </w:rPr>
        <w:t>（二）教学设备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_Toc5090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"_Toc539" </w:instrText>
      </w:r>
      <w:r>
        <w:fldChar w:fldCharType="separate"/>
      </w:r>
      <w:r>
        <w:rPr>
          <w:rFonts w:hint="eastAsia" w:ascii="Times New Roman" w:hAnsi="Times New Roman"/>
          <w:sz w:val="24"/>
          <w:szCs w:val="24"/>
          <w:lang w:val="zh-TW"/>
        </w:rPr>
        <w:t>（三）教师队伍建设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_Toc539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"_Toc16996" </w:instrText>
      </w:r>
      <w:r>
        <w:fldChar w:fldCharType="separate"/>
      </w:r>
      <w:r>
        <w:rPr>
          <w:rFonts w:hint="eastAsia" w:ascii="Times New Roman" w:hAnsi="Times New Roman"/>
          <w:sz w:val="24"/>
          <w:szCs w:val="24"/>
          <w:lang w:val="zh-TW"/>
        </w:rPr>
        <w:t>（四）实习基地建设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_Toc16996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"_Toc32537" </w:instrText>
      </w:r>
      <w:r>
        <w:fldChar w:fldCharType="separate"/>
      </w:r>
      <w:r>
        <w:rPr>
          <w:rFonts w:hint="eastAsia" w:ascii="Times New Roman" w:hAnsi="Times New Roman"/>
          <w:sz w:val="24"/>
          <w:szCs w:val="24"/>
          <w:lang w:val="zh-TW"/>
        </w:rPr>
        <w:t>（五）信息化建设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_Toc32537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"_Toc13558" </w:instrText>
      </w:r>
      <w:r>
        <w:fldChar w:fldCharType="separate"/>
      </w:r>
      <w:r>
        <w:rPr>
          <w:rFonts w:hint="eastAsia"/>
          <w:sz w:val="24"/>
          <w:lang w:val="zh-TW"/>
        </w:rPr>
        <w:t>四、培养机制与特色</w:t>
      </w:r>
      <w:r>
        <w:rPr>
          <w:sz w:val="24"/>
        </w:rPr>
        <w:tab/>
      </w:r>
      <w:r>
        <w:rPr>
          <w:sz w:val="24"/>
        </w:rPr>
        <w:fldChar w:fldCharType="begin"/>
      </w:r>
      <w:r>
        <w:rPr>
          <w:sz w:val="24"/>
        </w:rPr>
        <w:instrText xml:space="preserve"> PAGEREF _Toc13558 </w:instrText>
      </w:r>
      <w:r>
        <w:rPr>
          <w:sz w:val="24"/>
        </w:rPr>
        <w:fldChar w:fldCharType="separate"/>
      </w:r>
      <w:r>
        <w:rPr>
          <w:sz w:val="24"/>
        </w:rPr>
        <w:t>15</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"_Toc24924" </w:instrText>
      </w:r>
      <w:r>
        <w:fldChar w:fldCharType="separate"/>
      </w:r>
      <w:r>
        <w:rPr>
          <w:rFonts w:hint="eastAsia" w:ascii="Times New Roman" w:hAnsi="Times New Roman"/>
          <w:sz w:val="24"/>
          <w:szCs w:val="24"/>
        </w:rPr>
        <w:t>（一）</w:t>
      </w:r>
      <w:r>
        <w:rPr>
          <w:rFonts w:hint="eastAsia" w:ascii="Times New Roman" w:hAnsi="Times New Roman"/>
          <w:sz w:val="24"/>
          <w:szCs w:val="24"/>
          <w:lang w:val="zh-TW"/>
        </w:rPr>
        <w:t>产学研协同育人机制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_Toc24924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"_Toc31844" </w:instrText>
      </w:r>
      <w:r>
        <w:fldChar w:fldCharType="separate"/>
      </w:r>
      <w:r>
        <w:rPr>
          <w:rFonts w:hint="eastAsia" w:ascii="Times New Roman" w:hAnsi="Times New Roman"/>
          <w:sz w:val="24"/>
          <w:szCs w:val="24"/>
        </w:rPr>
        <w:t>（二）办学特色</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_Toc31844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"_Toc27665" </w:instrText>
      </w:r>
      <w:r>
        <w:fldChar w:fldCharType="separate"/>
      </w:r>
      <w:r>
        <w:rPr>
          <w:rFonts w:hint="eastAsia" w:ascii="Times New Roman" w:hAnsi="Times New Roman"/>
          <w:sz w:val="24"/>
          <w:szCs w:val="24"/>
        </w:rPr>
        <w:t>（三）教学管理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_Toc27665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302"/>
        </w:tabs>
        <w:spacing w:line="480" w:lineRule="exact"/>
        <w:rPr>
          <w:sz w:val="24"/>
        </w:rPr>
      </w:pPr>
      <w:r>
        <w:fldChar w:fldCharType="begin"/>
      </w:r>
      <w:r>
        <w:instrText xml:space="preserve"> HYPERLINK \l "_Toc13934" </w:instrText>
      </w:r>
      <w:r>
        <w:fldChar w:fldCharType="separate"/>
      </w:r>
      <w:r>
        <w:rPr>
          <w:rFonts w:hint="eastAsia"/>
          <w:sz w:val="24"/>
          <w:lang w:val="zh-TW"/>
        </w:rPr>
        <w:t>五、</w:t>
      </w:r>
      <w:r>
        <w:rPr>
          <w:rFonts w:hint="eastAsia"/>
          <w:sz w:val="24"/>
          <w:lang w:val="zh-TW" w:eastAsia="zh-TW"/>
        </w:rPr>
        <w:t>培养质量</w:t>
      </w:r>
      <w:r>
        <w:rPr>
          <w:sz w:val="24"/>
        </w:rPr>
        <w:tab/>
      </w:r>
      <w:r>
        <w:rPr>
          <w:sz w:val="24"/>
        </w:rPr>
        <w:fldChar w:fldCharType="begin"/>
      </w:r>
      <w:r>
        <w:rPr>
          <w:sz w:val="24"/>
        </w:rPr>
        <w:instrText xml:space="preserve"> PAGEREF _Toc13934 </w:instrText>
      </w:r>
      <w:r>
        <w:rPr>
          <w:sz w:val="24"/>
        </w:rPr>
        <w:fldChar w:fldCharType="separate"/>
      </w:r>
      <w:r>
        <w:rPr>
          <w:sz w:val="24"/>
        </w:rPr>
        <w:t>17</w:t>
      </w:r>
      <w:r>
        <w:rPr>
          <w:sz w:val="24"/>
        </w:rPr>
        <w:fldChar w:fldCharType="end"/>
      </w:r>
      <w:r>
        <w:rPr>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"_Toc14356" </w:instrText>
      </w:r>
      <w:r>
        <w:fldChar w:fldCharType="separate"/>
      </w:r>
      <w:r>
        <w:rPr>
          <w:rFonts w:hint="eastAsia"/>
          <w:sz w:val="24"/>
          <w:lang w:val="zh-TW"/>
        </w:rPr>
        <w:t>六、毕业生就业创业</w:t>
      </w:r>
      <w:r>
        <w:rPr>
          <w:sz w:val="24"/>
        </w:rPr>
        <w:tab/>
      </w:r>
      <w:r>
        <w:rPr>
          <w:sz w:val="24"/>
        </w:rPr>
        <w:fldChar w:fldCharType="begin"/>
      </w:r>
      <w:r>
        <w:rPr>
          <w:sz w:val="24"/>
        </w:rPr>
        <w:instrText xml:space="preserve"> PAGEREF _Toc14356 </w:instrText>
      </w:r>
      <w:r>
        <w:rPr>
          <w:sz w:val="24"/>
        </w:rPr>
        <w:fldChar w:fldCharType="separate"/>
      </w:r>
      <w:r>
        <w:rPr>
          <w:sz w:val="24"/>
        </w:rPr>
        <w:t>17</w:t>
      </w:r>
      <w:r>
        <w:rPr>
          <w:sz w:val="24"/>
        </w:rPr>
        <w:fldChar w:fldCharType="end"/>
      </w:r>
      <w:r>
        <w:rPr>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"_Toc18974" </w:instrText>
      </w:r>
      <w:r>
        <w:fldChar w:fldCharType="separate"/>
      </w:r>
      <w:r>
        <w:rPr>
          <w:rFonts w:hint="eastAsia"/>
          <w:sz w:val="24"/>
          <w:lang w:val="zh-TW"/>
        </w:rPr>
        <w:t>七、</w:t>
      </w:r>
      <w:r>
        <w:rPr>
          <w:rFonts w:hint="eastAsia"/>
          <w:sz w:val="24"/>
          <w:lang w:val="zh-TW" w:eastAsia="zh-TW"/>
        </w:rPr>
        <w:t>专业人才社会需求分析及专业发展趋势分析</w:t>
      </w:r>
      <w:r>
        <w:rPr>
          <w:sz w:val="24"/>
        </w:rPr>
        <w:tab/>
      </w:r>
      <w:r>
        <w:rPr>
          <w:sz w:val="24"/>
        </w:rPr>
        <w:fldChar w:fldCharType="begin"/>
      </w:r>
      <w:r>
        <w:rPr>
          <w:sz w:val="24"/>
        </w:rPr>
        <w:instrText xml:space="preserve"> PAGEREF _Toc18974 </w:instrText>
      </w:r>
      <w:r>
        <w:rPr>
          <w:sz w:val="24"/>
        </w:rPr>
        <w:fldChar w:fldCharType="separate"/>
      </w:r>
      <w:r>
        <w:rPr>
          <w:sz w:val="24"/>
        </w:rPr>
        <w:t>17</w:t>
      </w:r>
      <w:r>
        <w:rPr>
          <w:sz w:val="24"/>
        </w:rPr>
        <w:fldChar w:fldCharType="end"/>
      </w:r>
      <w:r>
        <w:rPr>
          <w:sz w:val="24"/>
        </w:rPr>
        <w:fldChar w:fldCharType="end"/>
      </w:r>
    </w:p>
    <w:p>
      <w:pPr>
        <w:pStyle w:val="28"/>
        <w:tabs>
          <w:tab w:val="right" w:leader="dot" w:pos="9072"/>
          <w:tab w:val="clear" w:pos="8302"/>
        </w:tabs>
        <w:spacing w:line="480" w:lineRule="exact"/>
        <w:rPr>
          <w:sz w:val="24"/>
        </w:rPr>
      </w:pPr>
      <w:r>
        <w:fldChar w:fldCharType="begin"/>
      </w:r>
      <w:r>
        <w:instrText xml:space="preserve"> HYPERLINK \l "_Toc25472" </w:instrText>
      </w:r>
      <w:r>
        <w:fldChar w:fldCharType="separate"/>
      </w:r>
      <w:r>
        <w:rPr>
          <w:rFonts w:hint="eastAsia"/>
          <w:sz w:val="24"/>
        </w:rPr>
        <w:t>八、存在的问题及整改措施</w:t>
      </w:r>
      <w:r>
        <w:rPr>
          <w:sz w:val="24"/>
        </w:rPr>
        <w:tab/>
      </w:r>
      <w:r>
        <w:rPr>
          <w:sz w:val="24"/>
        </w:rPr>
        <w:fldChar w:fldCharType="begin"/>
      </w:r>
      <w:r>
        <w:rPr>
          <w:sz w:val="24"/>
        </w:rPr>
        <w:instrText xml:space="preserve"> PAGEREF _Toc25472 </w:instrText>
      </w:r>
      <w:r>
        <w:rPr>
          <w:sz w:val="24"/>
        </w:rPr>
        <w:fldChar w:fldCharType="separate"/>
      </w:r>
      <w:r>
        <w:rPr>
          <w:sz w:val="24"/>
        </w:rPr>
        <w:t>17</w:t>
      </w:r>
      <w:r>
        <w:rPr>
          <w:sz w:val="24"/>
        </w:rPr>
        <w:fldChar w:fldCharType="end"/>
      </w:r>
      <w:r>
        <w:rPr>
          <w:sz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"_Toc11143" </w:instrText>
      </w:r>
      <w:r>
        <w:fldChar w:fldCharType="separate"/>
      </w:r>
      <w:r>
        <w:rPr>
          <w:rFonts w:hint="eastAsia" w:ascii="Times New Roman" w:hAnsi="Times New Roman"/>
          <w:sz w:val="24"/>
          <w:szCs w:val="24"/>
        </w:rPr>
        <w:t>（一）存在的问题</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_Toc11143 </w:instrText>
      </w:r>
      <w:r>
        <w:rPr>
          <w:rFonts w:ascii="Times New Roman" w:hAnsi="Times New Roman"/>
          <w:sz w:val="24"/>
          <w:szCs w:val="24"/>
        </w:rPr>
        <w:fldChar w:fldCharType="separate"/>
      </w:r>
      <w:r>
        <w:rPr>
          <w:rFonts w:ascii="Times New Roman" w:hAnsi="Times New Roman"/>
          <w:sz w:val="24"/>
          <w:szCs w:val="24"/>
        </w:rPr>
        <w:t>18</w:t>
      </w:r>
      <w:r>
        <w:rPr>
          <w:rFonts w:ascii="Times New Roman" w:hAnsi="Times New Roman"/>
          <w:sz w:val="24"/>
          <w:szCs w:val="24"/>
        </w:rPr>
        <w:fldChar w:fldCharType="end"/>
      </w:r>
      <w:r>
        <w:rPr>
          <w:rFonts w:ascii="Times New Roman" w:hAnsi="Times New Roman"/>
          <w:sz w:val="24"/>
          <w:szCs w:val="24"/>
        </w:rPr>
        <w:fldChar w:fldCharType="end"/>
      </w:r>
    </w:p>
    <w:p>
      <w:pPr>
        <w:pStyle w:val="14"/>
        <w:tabs>
          <w:tab w:val="right" w:leader="dot" w:pos="9072"/>
        </w:tabs>
        <w:spacing w:line="480" w:lineRule="exact"/>
        <w:rPr>
          <w:rFonts w:ascii="Times New Roman" w:hAnsi="Times New Roman"/>
          <w:sz w:val="24"/>
          <w:szCs w:val="24"/>
        </w:rPr>
      </w:pPr>
      <w:r>
        <w:fldChar w:fldCharType="begin"/>
      </w:r>
      <w:r>
        <w:instrText xml:space="preserve"> HYPERLINK \l "_Toc20188" </w:instrText>
      </w:r>
      <w:r>
        <w:fldChar w:fldCharType="separate"/>
      </w:r>
      <w:r>
        <w:rPr>
          <w:rFonts w:hint="eastAsia" w:ascii="Times New Roman" w:hAnsi="Times New Roman"/>
          <w:sz w:val="24"/>
          <w:szCs w:val="24"/>
        </w:rPr>
        <w:t>（二）整改措施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_Toc20188 </w:instrText>
      </w:r>
      <w:r>
        <w:rPr>
          <w:rFonts w:ascii="Times New Roman" w:hAnsi="Times New Roman"/>
          <w:sz w:val="24"/>
          <w:szCs w:val="24"/>
        </w:rPr>
        <w:fldChar w:fldCharType="separate"/>
      </w:r>
      <w:r>
        <w:rPr>
          <w:rFonts w:ascii="Times New Roman" w:hAnsi="Times New Roman"/>
          <w:sz w:val="24"/>
          <w:szCs w:val="24"/>
        </w:rPr>
        <w:t>18</w:t>
      </w:r>
      <w:r>
        <w:rPr>
          <w:rFonts w:ascii="Times New Roman" w:hAnsi="Times New Roman"/>
          <w:sz w:val="24"/>
          <w:szCs w:val="24"/>
        </w:rPr>
        <w:fldChar w:fldCharType="end"/>
      </w:r>
      <w:r>
        <w:rPr>
          <w:rFonts w:ascii="Times New Roman" w:hAnsi="Times New Roman"/>
          <w:sz w:val="24"/>
          <w:szCs w:val="24"/>
        </w:rPr>
        <w:fldChar w:fldCharType="end"/>
      </w:r>
    </w:p>
    <w:p>
      <w:pPr>
        <w:spacing w:line="480" w:lineRule="exact"/>
        <w:sectPr>
          <w:footerReference r:id="rId3" w:type="default"/>
          <w:pgSz w:w="11906" w:h="16838"/>
          <w:pgMar w:top="1417" w:right="1417" w:bottom="1417" w:left="1417" w:header="851" w:footer="992" w:gutter="0"/>
          <w:pgNumType w:start="1"/>
          <w:cols w:space="0" w:num="1"/>
          <w:docGrid w:type="lines" w:linePitch="333" w:charSpace="0"/>
        </w:sectPr>
      </w:pPr>
      <w:r>
        <w:rPr>
          <w:sz w:val="24"/>
        </w:rPr>
        <w:fldChar w:fldCharType="end"/>
      </w:r>
    </w:p>
    <w:bookmarkEnd w:id="0"/>
    <w:p>
      <w:pPr>
        <w:pStyle w:val="2"/>
      </w:pPr>
      <w:bookmarkStart w:id="1" w:name="_Toc7819"/>
      <w:bookmarkStart w:id="2" w:name="_Toc28079034"/>
      <w:r>
        <w:rPr>
          <w:rFonts w:hint="eastAsia"/>
        </w:rPr>
        <w:t>国际教育学院</w:t>
      </w:r>
      <w:bookmarkEnd w:id="1"/>
    </w:p>
    <w:p>
      <w:pPr>
        <w:pStyle w:val="2"/>
      </w:pPr>
      <w:bookmarkStart w:id="3" w:name="_Toc2987"/>
      <w:r>
        <w:rPr>
          <w:rFonts w:hint="eastAsia"/>
        </w:rPr>
        <w:t>2019-2020学年商务英语专业</w:t>
      </w:r>
      <w:bookmarkEnd w:id="2"/>
      <w:r>
        <w:rPr>
          <w:rFonts w:hint="eastAsia"/>
        </w:rPr>
        <w:t>人才培养报告</w:t>
      </w:r>
      <w:bookmarkEnd w:id="3"/>
    </w:p>
    <w:p>
      <w:pPr>
        <w:pStyle w:val="3"/>
        <w:rPr>
          <w:rFonts w:ascii="Times New Roman" w:hAnsi="Times New Roman"/>
        </w:rPr>
      </w:pPr>
      <w:bookmarkStart w:id="4" w:name="_Toc7411"/>
      <w:bookmarkStart w:id="5" w:name="_Toc28079058"/>
      <w:r>
        <w:rPr>
          <w:rFonts w:hint="eastAsia" w:ascii="Times New Roman" w:hAnsi="Times New Roman"/>
        </w:rPr>
        <w:t>一、培养目标与规格</w:t>
      </w:r>
      <w:bookmarkEnd w:id="4"/>
    </w:p>
    <w:p>
      <w:pPr>
        <w:pStyle w:val="4"/>
      </w:pPr>
      <w:bookmarkStart w:id="6" w:name="_Toc11798"/>
      <w:r>
        <w:rPr>
          <w:rFonts w:hint="eastAsia"/>
        </w:rPr>
        <w:t>（一）培养目标</w:t>
      </w:r>
      <w:bookmarkEnd w:id="6"/>
    </w:p>
    <w:p>
      <w:pPr>
        <w:spacing w:line="400" w:lineRule="exact"/>
        <w:ind w:firstLine="480" w:firstLineChars="200"/>
        <w:rPr>
          <w:sz w:val="24"/>
        </w:rPr>
      </w:pPr>
      <w:r>
        <w:rPr>
          <w:rFonts w:hint="eastAsia"/>
          <w:sz w:val="24"/>
        </w:rPr>
        <w:t>本专业旨在培养德、智、体、美、劳全面发展，政治信念坚定，品德高尚，责任心强，具备扎实的英语语言基础和文化基础，</w:t>
      </w:r>
      <w:r>
        <w:rPr>
          <w:rFonts w:hint="eastAsia"/>
          <w:kern w:val="0"/>
          <w:sz w:val="24"/>
        </w:rPr>
        <w:t>了解国际贸易的基本理论，掌握国际贸易的基本知识与基本技能，具有较高的综合素质，能在涉外企业、相关经济贸易部门或外贸公司从事实际业务，</w:t>
      </w:r>
      <w:r>
        <w:rPr>
          <w:rFonts w:hint="eastAsia"/>
          <w:sz w:val="24"/>
        </w:rPr>
        <w:t>具有国际视野和人文情怀的高素质应用型人才</w:t>
      </w:r>
      <w:r>
        <w:rPr>
          <w:rFonts w:hint="eastAsia"/>
          <w:kern w:val="0"/>
          <w:sz w:val="24"/>
        </w:rPr>
        <w:t>。</w:t>
      </w:r>
    </w:p>
    <w:p>
      <w:pPr>
        <w:pStyle w:val="4"/>
      </w:pPr>
      <w:bookmarkStart w:id="7" w:name="_Toc32492"/>
      <w:r>
        <w:rPr>
          <w:rFonts w:hint="eastAsia"/>
        </w:rPr>
        <w:t>（二）培养规格</w:t>
      </w:r>
      <w:bookmarkEnd w:id="7"/>
    </w:p>
    <w:p>
      <w:pPr>
        <w:pStyle w:val="5"/>
        <w:spacing w:before="99" w:after="99"/>
      </w:pPr>
      <w:r>
        <w:rPr>
          <w:rFonts w:hint="eastAsia"/>
        </w:rPr>
        <w:t>1.知识要求</w:t>
      </w:r>
    </w:p>
    <w:p>
      <w:pPr>
        <w:adjustRightInd w:val="0"/>
        <w:snapToGrid w:val="0"/>
        <w:spacing w:line="400" w:lineRule="exact"/>
        <w:ind w:firstLine="480" w:firstLineChars="200"/>
        <w:rPr>
          <w:sz w:val="24"/>
        </w:rPr>
      </w:pPr>
      <w:r>
        <w:rPr>
          <w:rFonts w:hint="eastAsia"/>
          <w:sz w:val="24"/>
        </w:rPr>
        <w:t>（1）掌握英语语言和英语国家社会和文化，具有较高的英语听、说、读、写、译水平。</w:t>
      </w:r>
    </w:p>
    <w:p>
      <w:pPr>
        <w:adjustRightInd w:val="0"/>
        <w:snapToGrid w:val="0"/>
        <w:spacing w:line="400" w:lineRule="exact"/>
        <w:ind w:firstLine="480" w:firstLineChars="200"/>
        <w:rPr>
          <w:sz w:val="24"/>
        </w:rPr>
      </w:pPr>
      <w:r>
        <w:rPr>
          <w:rFonts w:hint="eastAsia"/>
          <w:sz w:val="24"/>
        </w:rPr>
        <w:t>（2）具有商务、外贸和市场营销等方面的基本理论和基本知识。</w:t>
      </w:r>
    </w:p>
    <w:p>
      <w:pPr>
        <w:adjustRightInd w:val="0"/>
        <w:snapToGrid w:val="0"/>
        <w:spacing w:line="400" w:lineRule="exact"/>
        <w:ind w:firstLine="480" w:firstLineChars="200"/>
        <w:rPr>
          <w:sz w:val="24"/>
        </w:rPr>
      </w:pPr>
      <w:r>
        <w:rPr>
          <w:rFonts w:hint="eastAsia"/>
          <w:sz w:val="24"/>
        </w:rPr>
        <w:t>（3）掌握英语日常交流以及商务谈判和翻译知识。</w:t>
      </w:r>
    </w:p>
    <w:p>
      <w:pPr>
        <w:adjustRightInd w:val="0"/>
        <w:snapToGrid w:val="0"/>
        <w:spacing w:line="400" w:lineRule="exact"/>
        <w:ind w:firstLine="480" w:firstLineChars="200"/>
        <w:rPr>
          <w:sz w:val="24"/>
        </w:rPr>
      </w:pPr>
      <w:r>
        <w:rPr>
          <w:rFonts w:hint="eastAsia"/>
          <w:sz w:val="24"/>
        </w:rPr>
        <w:t>（4）具有通识性文史哲法等方面的知识。</w:t>
      </w:r>
    </w:p>
    <w:p>
      <w:pPr>
        <w:pStyle w:val="5"/>
        <w:spacing w:before="99" w:after="99"/>
      </w:pPr>
      <w:r>
        <w:rPr>
          <w:rFonts w:hint="eastAsia"/>
        </w:rPr>
        <w:t>2.能力要求</w:t>
      </w:r>
    </w:p>
    <w:p>
      <w:pPr>
        <w:adjustRightInd w:val="0"/>
        <w:snapToGrid w:val="0"/>
        <w:spacing w:line="400" w:lineRule="exact"/>
        <w:ind w:firstLine="480" w:firstLineChars="200"/>
        <w:rPr>
          <w:sz w:val="24"/>
        </w:rPr>
      </w:pPr>
      <w:r>
        <w:rPr>
          <w:rFonts w:hint="eastAsia"/>
          <w:sz w:val="24"/>
        </w:rPr>
        <w:t>（1）能够较好地掌握第二门外语，具备良好的听说读写译的能力。</w:t>
      </w:r>
    </w:p>
    <w:p>
      <w:pPr>
        <w:adjustRightInd w:val="0"/>
        <w:snapToGrid w:val="0"/>
        <w:spacing w:line="400" w:lineRule="exact"/>
        <w:ind w:firstLine="460" w:firstLineChars="192"/>
        <w:rPr>
          <w:sz w:val="24"/>
        </w:rPr>
      </w:pPr>
      <w:r>
        <w:rPr>
          <w:rFonts w:hint="eastAsia"/>
          <w:sz w:val="24"/>
        </w:rPr>
        <w:t>（2）能够熟练掌握计算机的基本操作，具备进出口业务和单证的操作能力。</w:t>
      </w:r>
    </w:p>
    <w:p>
      <w:pPr>
        <w:adjustRightInd w:val="0"/>
        <w:snapToGrid w:val="0"/>
        <w:spacing w:line="400" w:lineRule="exact"/>
        <w:ind w:firstLine="460" w:firstLineChars="192"/>
        <w:rPr>
          <w:sz w:val="24"/>
        </w:rPr>
      </w:pPr>
      <w:r>
        <w:rPr>
          <w:rFonts w:hint="eastAsia"/>
          <w:sz w:val="24"/>
        </w:rPr>
        <w:t>（3）具有良好的跨文化交际能力，能够了解英语国家的社会与文化的异同。</w:t>
      </w:r>
    </w:p>
    <w:p>
      <w:pPr>
        <w:adjustRightInd w:val="0"/>
        <w:snapToGrid w:val="0"/>
        <w:spacing w:line="400" w:lineRule="exact"/>
        <w:ind w:firstLine="460" w:firstLineChars="192"/>
        <w:rPr>
          <w:sz w:val="24"/>
        </w:rPr>
      </w:pPr>
      <w:r>
        <w:rPr>
          <w:rFonts w:hint="eastAsia"/>
          <w:sz w:val="24"/>
        </w:rPr>
        <w:t>（4）具有较强的表达、沟通、团队协作能力以及社会活动和组织管理能力。</w:t>
      </w:r>
    </w:p>
    <w:p>
      <w:pPr>
        <w:pStyle w:val="5"/>
        <w:spacing w:before="99" w:after="99"/>
      </w:pPr>
      <w:r>
        <w:rPr>
          <w:rFonts w:hint="eastAsia"/>
        </w:rPr>
        <w:t>3.素质要求</w:t>
      </w:r>
    </w:p>
    <w:p>
      <w:pPr>
        <w:adjustRightInd w:val="0"/>
        <w:snapToGrid w:val="0"/>
        <w:spacing w:line="400" w:lineRule="exact"/>
        <w:ind w:firstLine="460" w:firstLineChars="192"/>
        <w:rPr>
          <w:sz w:val="24"/>
        </w:rPr>
      </w:pPr>
      <w:r>
        <w:rPr>
          <w:rFonts w:hint="eastAsia"/>
          <w:sz w:val="24"/>
        </w:rPr>
        <w:t>（1）身心素质：积极参加体育锻炼，达到大学生体育锻炼标准，受到必要的军事训练，身体健康，心理状态良好。</w:t>
      </w:r>
    </w:p>
    <w:p>
      <w:pPr>
        <w:adjustRightInd w:val="0"/>
        <w:snapToGrid w:val="0"/>
        <w:spacing w:line="400" w:lineRule="exact"/>
        <w:ind w:firstLine="480" w:firstLineChars="200"/>
        <w:rPr>
          <w:sz w:val="24"/>
        </w:rPr>
      </w:pPr>
      <w:r>
        <w:rPr>
          <w:rFonts w:hint="eastAsia"/>
          <w:sz w:val="24"/>
        </w:rPr>
        <w:t>（2）政治素质：有正确的世界观，具有辩证唯物主义逻辑思维能力，有健康的心态和较高的道德素养。</w:t>
      </w:r>
    </w:p>
    <w:p>
      <w:pPr>
        <w:pStyle w:val="3"/>
        <w:rPr>
          <w:rFonts w:ascii="Times New Roman" w:hAnsi="Times New Roman"/>
        </w:rPr>
      </w:pPr>
      <w:bookmarkStart w:id="8" w:name="_Toc17949"/>
      <w:r>
        <w:rPr>
          <w:rFonts w:hint="eastAsia" w:ascii="Times New Roman" w:hAnsi="Times New Roman"/>
        </w:rPr>
        <w:t>二、培养能力</w:t>
      </w:r>
      <w:bookmarkEnd w:id="8"/>
    </w:p>
    <w:p>
      <w:pPr>
        <w:pStyle w:val="4"/>
      </w:pPr>
      <w:bookmarkStart w:id="9" w:name="_Toc12319"/>
      <w:r>
        <w:rPr>
          <w:rFonts w:hint="eastAsia"/>
        </w:rPr>
        <w:t>（一）专业设置情况及在校生规模</w:t>
      </w:r>
      <w:bookmarkEnd w:id="9"/>
    </w:p>
    <w:p>
      <w:pPr>
        <w:spacing w:line="400" w:lineRule="exact"/>
        <w:ind w:firstLine="480" w:firstLineChars="200"/>
        <w:rPr>
          <w:kern w:val="0"/>
          <w:sz w:val="24"/>
        </w:rPr>
      </w:pPr>
      <w:r>
        <w:rPr>
          <w:rFonts w:hint="eastAsia"/>
          <w:kern w:val="0"/>
          <w:sz w:val="24"/>
        </w:rPr>
        <w:t>商务英语专业1994年</w:t>
      </w:r>
      <w:r>
        <w:rPr>
          <w:rFonts w:hint="eastAsia" w:asciiTheme="minorEastAsia" w:hAnsiTheme="minorEastAsia" w:eastAsiaTheme="minorEastAsia"/>
          <w:sz w:val="24"/>
        </w:rPr>
        <w:t>经</w:t>
      </w:r>
      <w:r>
        <w:rPr>
          <w:rFonts w:hint="eastAsia"/>
          <w:kern w:val="0"/>
          <w:sz w:val="24"/>
        </w:rPr>
        <w:t>山东省教育厅批准设立并开始招生，每年招收2个班五十余人，至今已招收26届学生共1350余名。现已有商务英语专科毕业生1300余名，目前在校生共有59人。</w:t>
      </w:r>
    </w:p>
    <w:p>
      <w:pPr>
        <w:spacing w:line="400" w:lineRule="exact"/>
        <w:ind w:firstLine="480" w:firstLineChars="200"/>
        <w:rPr>
          <w:kern w:val="0"/>
          <w:sz w:val="24"/>
        </w:rPr>
      </w:pPr>
      <w:r>
        <w:rPr>
          <w:rFonts w:hint="eastAsia"/>
          <w:kern w:val="0"/>
          <w:sz w:val="24"/>
        </w:rPr>
        <w:t>自招生以来，商务英语专业按照人才培养目标和人才培养的基本原则，不断加强教学体系、教学内容和教学方法的改革研究，努力创造、完善教学条件，培养适应社会需求的复合型专业人才。经过二十几年的专业建设，商务英语专业目前已发展成为青岛农业大学的热门专业之一，招生数量和质量也显著提升，师资力量、教学质量和教学设施等软硬件均有很大提升和改善。2005年开办中外合作办学项目，外方合作院校为加拿大皇家大学。</w:t>
      </w:r>
    </w:p>
    <w:p>
      <w:pPr>
        <w:spacing w:line="400" w:lineRule="exact"/>
        <w:ind w:firstLine="480" w:firstLineChars="200"/>
        <w:rPr>
          <w:kern w:val="0"/>
          <w:sz w:val="24"/>
        </w:rPr>
      </w:pPr>
      <w:r>
        <w:rPr>
          <w:rFonts w:hint="eastAsia"/>
          <w:kern w:val="0"/>
          <w:sz w:val="24"/>
        </w:rPr>
        <w:t>在学校应用型人才培养特色名校工程建设背景下，商务英语专业积极推进人才培养模式改革，修订并完善人才培养方案，建设了以“通识课程平台、专业基础课程平台、专业课程平台”为主体，以“实验实践教学体系”和“创新创业教育体系”为两大支柱，以“专业拓展课程模块、素质教育课程模块”为个性化发展的“3-2-2”人才培养课程体系。人才培养方案力求明确细化专业方向定位和能力架构，进一步完善理论教学与实验实践教学体系建设，以保证专业教学和人才培养质量的提升。在国际教育学院各级领导的努力下，课程设置更加科学合理，教学管理制度更加规范完善，专业设置与建设呈现出较好发展态势。</w:t>
      </w:r>
    </w:p>
    <w:p>
      <w:pPr>
        <w:pStyle w:val="4"/>
      </w:pPr>
      <w:bookmarkStart w:id="10" w:name="_Toc11591"/>
      <w:r>
        <w:rPr>
          <w:rFonts w:hint="eastAsia"/>
        </w:rPr>
        <w:t>（二）课程设置情况</w:t>
      </w:r>
      <w:bookmarkEnd w:id="10"/>
    </w:p>
    <w:p>
      <w:pPr>
        <w:adjustRightInd w:val="0"/>
        <w:spacing w:line="400" w:lineRule="exact"/>
        <w:ind w:firstLine="460" w:firstLineChars="192"/>
        <w:rPr>
          <w:kern w:val="0"/>
          <w:sz w:val="24"/>
        </w:rPr>
      </w:pPr>
      <w:r>
        <w:rPr>
          <w:rFonts w:hint="eastAsia"/>
          <w:kern w:val="0"/>
          <w:sz w:val="24"/>
        </w:rPr>
        <w:t>根据我国对商务英语人才的需求特点，商务英语专科专业人才培养模式也在创新改革之中，自专业设立以来先后进行了多次培养方案修订，专业课程体系不断丰富完善。目前该专业的核心课程主要有商务英语阅读、商务英语翻译、商务谈判口语、商务信函写作等多门课程。同时该专业注重商务英语技能的应用能力培养，开设了雅思英语、韩语等与英语和商务相关的选修课，以拓展学生的知识面。</w:t>
      </w:r>
    </w:p>
    <w:p>
      <w:pPr>
        <w:spacing w:line="400" w:lineRule="exact"/>
        <w:ind w:firstLine="480" w:firstLineChars="200"/>
        <w:rPr>
          <w:kern w:val="0"/>
          <w:sz w:val="24"/>
        </w:rPr>
      </w:pPr>
      <w:r>
        <w:rPr>
          <w:rFonts w:hint="eastAsia"/>
          <w:kern w:val="0"/>
          <w:sz w:val="24"/>
        </w:rPr>
        <w:t>目前，商务英语专科的毕业学分要求为120.5学分。自本专业设立以来，为了更好地培养人才，学院先后进行了多次培养方案的修订工作，专业课程体系不断丰富和完善。目前该专业的课程体系分为课程类和实践类两大模块。在专业基础课程和专业课程的基础上，强化专业拓展课程，设置了公选课程、专业语言课程和商务知识课程三个模块的选修课程模块，满足学生职业化发展的需要，提高学生的专业核心能力和拓展能力。核心课程教学内容涵盖了英语语言基础知识和商务英语翻译、外贸函电等商务理论课程，在完善“专业+模块”的课程设置的基础上，实践能力的培养贯穿整个人才培养过程，形成基础实践、专业实践、综合实践为递进顺序的综合实验实践教学体系。在新制定的培养方案中，注重提升学生专业能力和实践能力，在强化学生英语表达能力和跨文化交际能力的同时，强化商务英语和国际贸易技能的培养，为“外语+外贸”“双料型”多元化人才培养模式提供强有力的支撑。</w:t>
      </w:r>
    </w:p>
    <w:p>
      <w:pPr>
        <w:pStyle w:val="4"/>
      </w:pPr>
      <w:bookmarkStart w:id="11" w:name="_Toc22133"/>
      <w:r>
        <w:rPr>
          <w:rFonts w:hint="eastAsia"/>
        </w:rPr>
        <w:t>（三）创新创业教育</w:t>
      </w:r>
      <w:bookmarkEnd w:id="11"/>
    </w:p>
    <w:p>
      <w:pPr>
        <w:spacing w:line="400" w:lineRule="exact"/>
        <w:ind w:firstLine="480" w:firstLineChars="200"/>
        <w:rPr>
          <w:kern w:val="0"/>
          <w:sz w:val="24"/>
        </w:rPr>
      </w:pPr>
      <w:r>
        <w:rPr>
          <w:rFonts w:hint="eastAsia"/>
          <w:kern w:val="0"/>
          <w:sz w:val="24"/>
        </w:rPr>
        <w:t>在创新创业教育方面，构建</w:t>
      </w:r>
      <w:r>
        <w:rPr>
          <w:kern w:val="0"/>
          <w:sz w:val="24"/>
        </w:rPr>
        <w:t>涵盖科研训练与课程论文、</w:t>
      </w:r>
      <w:r>
        <w:rPr>
          <w:rFonts w:hint="eastAsia"/>
          <w:kern w:val="0"/>
          <w:sz w:val="24"/>
        </w:rPr>
        <w:t>英语或商务相关的专业技能</w:t>
      </w:r>
      <w:r>
        <w:rPr>
          <w:kern w:val="0"/>
          <w:sz w:val="24"/>
        </w:rPr>
        <w:t>竞赛、毕业论文等内容的创新教育体系</w:t>
      </w:r>
      <w:r>
        <w:rPr>
          <w:rFonts w:hint="eastAsia"/>
          <w:kern w:val="0"/>
          <w:sz w:val="24"/>
        </w:rPr>
        <w:t>，大力推行</w:t>
      </w:r>
      <w:r>
        <w:rPr>
          <w:kern w:val="0"/>
          <w:sz w:val="24"/>
        </w:rPr>
        <w:t>创业教育、创业计划竞赛、创业实践等内容</w:t>
      </w:r>
      <w:r>
        <w:rPr>
          <w:rFonts w:hint="eastAsia"/>
          <w:kern w:val="0"/>
          <w:sz w:val="24"/>
        </w:rPr>
        <w:t>为主</w:t>
      </w:r>
      <w:r>
        <w:rPr>
          <w:kern w:val="0"/>
          <w:sz w:val="24"/>
        </w:rPr>
        <w:t>的创业教育体系</w:t>
      </w:r>
      <w:r>
        <w:rPr>
          <w:rFonts w:hint="eastAsia"/>
          <w:kern w:val="0"/>
          <w:sz w:val="24"/>
        </w:rPr>
        <w:t>，旨在</w:t>
      </w:r>
      <w:r>
        <w:rPr>
          <w:kern w:val="0"/>
          <w:sz w:val="24"/>
        </w:rPr>
        <w:t>培养大学生</w:t>
      </w:r>
      <w:r>
        <w:rPr>
          <w:rFonts w:hint="eastAsia"/>
          <w:kern w:val="0"/>
          <w:sz w:val="24"/>
        </w:rPr>
        <w:t>的</w:t>
      </w:r>
      <w:r>
        <w:rPr>
          <w:kern w:val="0"/>
          <w:sz w:val="24"/>
        </w:rPr>
        <w:t>创新</w:t>
      </w:r>
      <w:r>
        <w:rPr>
          <w:rFonts w:hint="eastAsia"/>
          <w:kern w:val="0"/>
          <w:sz w:val="24"/>
        </w:rPr>
        <w:t>、</w:t>
      </w:r>
      <w:r>
        <w:rPr>
          <w:kern w:val="0"/>
          <w:sz w:val="24"/>
        </w:rPr>
        <w:t>创业</w:t>
      </w:r>
      <w:r>
        <w:rPr>
          <w:rFonts w:hint="eastAsia"/>
          <w:kern w:val="0"/>
          <w:sz w:val="24"/>
        </w:rPr>
        <w:t>精神和</w:t>
      </w:r>
      <w:r>
        <w:rPr>
          <w:kern w:val="0"/>
          <w:sz w:val="24"/>
        </w:rPr>
        <w:t>能力。</w:t>
      </w:r>
    </w:p>
    <w:p>
      <w:pPr>
        <w:pStyle w:val="5"/>
        <w:spacing w:before="99" w:after="99"/>
      </w:pPr>
      <w:r>
        <w:rPr>
          <w:rFonts w:hint="eastAsia"/>
        </w:rPr>
        <w:t>1.</w:t>
      </w:r>
      <w:r>
        <w:t>建设校内创新创业实践基地</w:t>
      </w:r>
    </w:p>
    <w:p>
      <w:pPr>
        <w:spacing w:line="400" w:lineRule="exact"/>
        <w:ind w:firstLine="480" w:firstLineChars="200"/>
        <w:rPr>
          <w:sz w:val="24"/>
        </w:rPr>
      </w:pPr>
      <w:r>
        <w:rPr>
          <w:rFonts w:hint="eastAsia"/>
          <w:sz w:val="24"/>
        </w:rPr>
        <w:t>为加强实践教学，目前建有多个校内实践基地，</w:t>
      </w:r>
      <w:r>
        <w:rPr>
          <w:sz w:val="24"/>
        </w:rPr>
        <w:t>成立翻译中心、国际文化和商务交流中心</w:t>
      </w:r>
      <w:r>
        <w:rPr>
          <w:rFonts w:hint="eastAsia"/>
          <w:sz w:val="24"/>
        </w:rPr>
        <w:t>、商务技能实训实验室</w:t>
      </w:r>
      <w:r>
        <w:rPr>
          <w:sz w:val="24"/>
        </w:rPr>
        <w:t>，鼓励学生主动</w:t>
      </w:r>
      <w:r>
        <w:rPr>
          <w:rFonts w:hint="eastAsia"/>
          <w:sz w:val="24"/>
        </w:rPr>
        <w:t>参与专业相关的语言教学和商务教学实践活动</w:t>
      </w:r>
      <w:r>
        <w:rPr>
          <w:sz w:val="24"/>
        </w:rPr>
        <w:t>。国际文化和商务交流中心重点是培养学生国际</w:t>
      </w:r>
      <w:r>
        <w:rPr>
          <w:rFonts w:hint="eastAsia"/>
          <w:sz w:val="24"/>
        </w:rPr>
        <w:t>商务交际</w:t>
      </w:r>
      <w:r>
        <w:rPr>
          <w:sz w:val="24"/>
        </w:rPr>
        <w:t>能力</w:t>
      </w:r>
      <w:r>
        <w:rPr>
          <w:rFonts w:hint="eastAsia"/>
          <w:sz w:val="24"/>
        </w:rPr>
        <w:t>以及国际贸易综合业务能力，</w:t>
      </w:r>
      <w:r>
        <w:rPr>
          <w:sz w:val="24"/>
        </w:rPr>
        <w:t>如用英语介绍中西文化、家乡风俗、名胜古迹。</w:t>
      </w:r>
      <w:r>
        <w:rPr>
          <w:rFonts w:hint="eastAsia"/>
          <w:sz w:val="24"/>
        </w:rPr>
        <w:t>鼓励学生积极参学校举办的各类创新创业活动，提高学生参加各类商务实践活动的积极性。</w:t>
      </w:r>
    </w:p>
    <w:p>
      <w:pPr>
        <w:pStyle w:val="5"/>
        <w:spacing w:before="99" w:after="99"/>
      </w:pPr>
      <w:r>
        <w:rPr>
          <w:rFonts w:hint="eastAsia"/>
        </w:rPr>
        <w:t>2.鼓励学生参加各类专业技能考试和活动</w:t>
      </w:r>
    </w:p>
    <w:p>
      <w:pPr>
        <w:spacing w:line="400" w:lineRule="exact"/>
        <w:ind w:firstLine="480" w:firstLineChars="200"/>
        <w:rPr>
          <w:sz w:val="24"/>
        </w:rPr>
      </w:pPr>
      <w:r>
        <w:rPr>
          <w:rFonts w:hint="eastAsia"/>
          <w:sz w:val="24"/>
        </w:rPr>
        <w:t>学院鼓励学生参与各级各类的竞赛活动，参加剑桥商务英语考试，参与商务类虚拟实践平台的训练等方式，激发学生学习兴趣。学院重视并不断加强对学生专业技能的训练和语言应用能力的培养</w:t>
      </w:r>
      <w:r>
        <w:rPr>
          <w:rFonts w:hint="eastAsia"/>
          <w:sz w:val="24"/>
          <w:lang w:eastAsia="zh-CN"/>
        </w:rPr>
        <w:t>，</w:t>
      </w:r>
      <w:bookmarkStart w:id="53" w:name="_GoBack"/>
      <w:bookmarkEnd w:id="53"/>
      <w:r>
        <w:rPr>
          <w:rFonts w:hint="eastAsia"/>
          <w:sz w:val="24"/>
        </w:rPr>
        <w:t>促进学生综合素质和教学质量的提高。组织学生与在校留学生共同举办联谊和晚会等活动，提高学生的语言交流和跨文化交际能力。通过鼓励学生出国短训、做交换生和设计职业生涯规划等方式，提高学生主动学习相关专业知识的自觉性和主动性。学院鼓励学生利用抖音等自媒体展示自己的才艺，充分展现当代大学生求实奋进、热爱生活的积极正面的形象。</w:t>
      </w:r>
    </w:p>
    <w:p>
      <w:pPr>
        <w:pStyle w:val="5"/>
        <w:spacing w:before="99" w:after="99"/>
      </w:pPr>
      <w:r>
        <w:rPr>
          <w:rFonts w:hint="eastAsia"/>
        </w:rPr>
        <w:t>3.大学生创新项目立项建设</w:t>
      </w:r>
    </w:p>
    <w:p>
      <w:pPr>
        <w:spacing w:line="400" w:lineRule="exact"/>
        <w:ind w:firstLine="460" w:firstLineChars="192"/>
        <w:rPr>
          <w:color w:val="FF0000"/>
          <w:sz w:val="24"/>
        </w:rPr>
      </w:pPr>
      <w:r>
        <w:rPr>
          <w:rFonts w:hint="eastAsia"/>
          <w:sz w:val="24"/>
        </w:rPr>
        <w:t>学院鼓励学生积极参与大学生项目的创新立项建设。学生根据兴趣自由组队，确定研究内容，学院根据学生创新活动的内容安排指导教师对接相应的创新团队，对学生的创新实践活动和项目立项书的撰写进行指导。同时，学院鼓励教师带动学生进行商业营销推广、英语家教和志愿支教等与所学专业相关的实践类活动，提高学生的专业技能和人文素养。</w:t>
      </w:r>
    </w:p>
    <w:p>
      <w:pPr>
        <w:pStyle w:val="3"/>
      </w:pPr>
      <w:bookmarkStart w:id="12" w:name="_Toc17008"/>
      <w:r>
        <w:rPr>
          <w:rFonts w:hint="eastAsia"/>
        </w:rPr>
        <w:t>三、培养条件</w:t>
      </w:r>
      <w:bookmarkEnd w:id="12"/>
    </w:p>
    <w:p>
      <w:pPr>
        <w:pStyle w:val="4"/>
      </w:pPr>
      <w:bookmarkStart w:id="13" w:name="_Toc11166"/>
      <w:r>
        <w:rPr>
          <w:rFonts w:hint="eastAsia"/>
        </w:rPr>
        <w:t>（一）教学经费投入及教学设备</w:t>
      </w:r>
      <w:bookmarkEnd w:id="13"/>
    </w:p>
    <w:p>
      <w:pPr>
        <w:spacing w:line="400" w:lineRule="exact"/>
        <w:ind w:firstLine="480" w:firstLineChars="200"/>
        <w:rPr>
          <w:sz w:val="24"/>
        </w:rPr>
      </w:pPr>
      <w:r>
        <w:rPr>
          <w:rFonts w:hint="eastAsia"/>
          <w:sz w:val="24"/>
        </w:rPr>
        <w:t>商务英语专业的教学经费投入主要涉及校级、院级课程建设、教研教改项目、实验中心建设等方面。专业发展教学经费投入较充足，基本与日前专业发展规模相适应。近几年来，国际教育学院投入各项经费加强语言和专业实验室建设，保证实验室实验设备的正常运行和维护，保证正常教学的有序开展。同时，在专业师资队伍建设、课程建设、教材建设、教学研究项目等专项建设方面，所拨经费充足，使用规范合理；对投入的经费进行严格、规范和科学的管理使用，实验实习经费能做到专款专用，利用效益高。在实验室建设方面，学院制订了完整的语言实验室和商务实验室建设规划，管理制度健全规范，实验员配备充分，能充分满足商务英语专业的教学要求，满足了专业学生参与课外实践活动的基本需要。</w:t>
      </w:r>
    </w:p>
    <w:p>
      <w:pPr>
        <w:pStyle w:val="4"/>
      </w:pPr>
      <w:bookmarkStart w:id="14" w:name="_Toc32162"/>
      <w:r>
        <w:rPr>
          <w:rFonts w:hint="eastAsia"/>
        </w:rPr>
        <w:t>（二）教师队伍建设</w:t>
      </w:r>
      <w:bookmarkEnd w:id="14"/>
    </w:p>
    <w:p>
      <w:pPr>
        <w:spacing w:line="400" w:lineRule="exact"/>
        <w:ind w:firstLine="480" w:firstLineChars="200"/>
        <w:rPr>
          <w:sz w:val="24"/>
        </w:rPr>
      </w:pPr>
      <w:r>
        <w:rPr>
          <w:rFonts w:hint="eastAsia"/>
          <w:sz w:val="24"/>
        </w:rPr>
        <w:t>师资是保证人才培养质量的根本。商务英语专业拥有一支学缘结构广泛、职称、学历层次高、年龄结构较为合理的师资队伍。现有专业基础课和专业课教师共计</w:t>
      </w:r>
      <w:r>
        <w:rPr>
          <w:rFonts w:hint="eastAsia" w:eastAsia="仿宋_GB2312"/>
          <w:sz w:val="24"/>
        </w:rPr>
        <w:t>30</w:t>
      </w:r>
      <w:r>
        <w:rPr>
          <w:rFonts w:hint="eastAsia"/>
          <w:sz w:val="24"/>
        </w:rPr>
        <w:t>人，包含教授4名，副教授5名，讲师17名。专职教师都具备硕士及以上学位，海外留学经历的教师5名，具有博士学位的教师2名。教师的年龄段分布在35岁到55岁之间。所有专任教师全身心投入教学当中，包括课题参与、教研活动、科研活动、指导学生、课外辅导等，全心付出换来了硕果累累。近年来，教师取得的成绩颇多，包括各种教学奖励、荣誉称号、教学成果等。同时，为了提升教师的教学水平和科研能力，学院特拨经费用于师资培训，鼓励教师外出参加学术会议、短期培训等，对科研成绩突出的老师进行奖励，大大提高了教师的教学和科研积极性。</w:t>
      </w:r>
    </w:p>
    <w:p>
      <w:pPr>
        <w:spacing w:line="400" w:lineRule="exact"/>
        <w:ind w:firstLine="480" w:firstLineChars="200"/>
        <w:rPr>
          <w:sz w:val="24"/>
        </w:rPr>
      </w:pPr>
      <w:r>
        <w:rPr>
          <w:rFonts w:hint="eastAsia"/>
          <w:sz w:val="24"/>
        </w:rPr>
        <w:t>总体来看，商务英语专业的教学师资比较充足，教师的专业和研究方向与商务英语专业的吻合度较高，能满足所讲授课程需要。主讲教师的学历、学位、年龄、职称、学缘、学科结构搭配比较合理。</w:t>
      </w:r>
    </w:p>
    <w:p>
      <w:pPr>
        <w:spacing w:line="400" w:lineRule="exact"/>
        <w:ind w:firstLine="480" w:firstLineChars="200"/>
        <w:rPr>
          <w:sz w:val="24"/>
        </w:rPr>
      </w:pPr>
      <w:r>
        <w:rPr>
          <w:rFonts w:hint="eastAsia"/>
          <w:sz w:val="24"/>
        </w:rPr>
        <w:t>商务英语专业在一、二年级开设基础英语课程和部分商务专业类课程，商务英语专业专职教师9名，负责二、三年级设置的商务英语专业相关课程的教学。在实践教学方面，该专业采用“送出去、请进来”的灵活方式，请涉外贸易企业的负责人、业务专业人才到校为学生进行实务讲座；同时带学生进入企业考察，在学生的实习期内让学生进入企业实习，为学生加强专业技能实践锻炼提供有利条件。</w:t>
      </w:r>
    </w:p>
    <w:p>
      <w:pPr>
        <w:pStyle w:val="4"/>
      </w:pPr>
      <w:bookmarkStart w:id="15" w:name="_Toc24602"/>
      <w:r>
        <w:rPr>
          <w:rFonts w:hint="eastAsia"/>
        </w:rPr>
        <w:t>（三）信息化建设</w:t>
      </w:r>
      <w:bookmarkEnd w:id="15"/>
    </w:p>
    <w:p>
      <w:pPr>
        <w:spacing w:line="400" w:lineRule="exact"/>
        <w:ind w:firstLine="480" w:firstLineChars="200"/>
        <w:rPr>
          <w:kern w:val="0"/>
          <w:sz w:val="24"/>
        </w:rPr>
      </w:pPr>
      <w:r>
        <w:rPr>
          <w:rFonts w:hint="eastAsia"/>
          <w:kern w:val="0"/>
          <w:sz w:val="24"/>
        </w:rPr>
        <w:t>商务英语专科的专任教师充分利用现代教学技术并结合案例教学，加强教学网站及素材建设，极大地丰富了授课内容，提高了课堂教学效率。商务类的专业课程包括进出口单证、外贸函电写作等通过多媒体教学手段以及多种教学软件进行讲授，将进出口业务的各环节非常逼真地展现在学生面前，增加了真实感。网络教学平台教学资源丰富，各课程均上传了培养方案、大纲、授课计划、教案、电子标本资源、教学素材、课件、试题库、授课录像（视频）等教学文件，支撑学生自主学习。这为学生预习课程、了解课程进度、掌握课程学习内容等提供了便利条件。学生借助现代多媒体辅助技术</w:t>
      </w:r>
      <w:r>
        <w:rPr>
          <w:kern w:val="0"/>
          <w:sz w:val="24"/>
        </w:rPr>
        <w:t>开展自主</w:t>
      </w:r>
      <w:r>
        <w:rPr>
          <w:rFonts w:hint="eastAsia"/>
          <w:kern w:val="0"/>
          <w:sz w:val="24"/>
        </w:rPr>
        <w:t>式</w:t>
      </w:r>
      <w:r>
        <w:rPr>
          <w:kern w:val="0"/>
          <w:sz w:val="24"/>
        </w:rPr>
        <w:t>学习</w:t>
      </w:r>
      <w:r>
        <w:rPr>
          <w:rFonts w:hint="eastAsia"/>
          <w:kern w:val="0"/>
          <w:sz w:val="24"/>
        </w:rPr>
        <w:t>和</w:t>
      </w:r>
      <w:r>
        <w:rPr>
          <w:kern w:val="0"/>
          <w:sz w:val="24"/>
        </w:rPr>
        <w:t>探索</w:t>
      </w:r>
      <w:r>
        <w:rPr>
          <w:rFonts w:hint="eastAsia"/>
          <w:kern w:val="0"/>
          <w:sz w:val="24"/>
        </w:rPr>
        <w:t>，有问题在课程建设网页的在线交流板块和教师进行沟通和交流，学生自主学习的积极性和效果都得到了极大的提高。</w:t>
      </w:r>
    </w:p>
    <w:p>
      <w:pPr>
        <w:pStyle w:val="3"/>
      </w:pPr>
      <w:bookmarkStart w:id="16" w:name="_Toc27542"/>
      <w:r>
        <w:rPr>
          <w:rFonts w:hint="eastAsia"/>
        </w:rPr>
        <w:t>四、培养机制与特色</w:t>
      </w:r>
      <w:bookmarkEnd w:id="16"/>
    </w:p>
    <w:p>
      <w:pPr>
        <w:pStyle w:val="4"/>
      </w:pPr>
      <w:bookmarkStart w:id="17" w:name="_Toc15145"/>
      <w:r>
        <w:rPr>
          <w:rFonts w:hint="eastAsia"/>
        </w:rPr>
        <w:t>（一）强化专业办学思路</w:t>
      </w:r>
      <w:bookmarkEnd w:id="17"/>
    </w:p>
    <w:p>
      <w:pPr>
        <w:spacing w:line="400" w:lineRule="exact"/>
        <w:ind w:firstLine="480" w:firstLineChars="200"/>
        <w:rPr>
          <w:rFonts w:cs="宋体"/>
          <w:sz w:val="24"/>
        </w:rPr>
      </w:pPr>
      <w:r>
        <w:rPr>
          <w:rFonts w:hint="eastAsia" w:cs="宋体"/>
          <w:sz w:val="24"/>
        </w:rPr>
        <w:t>“外语+外贸”是商务英语专业人才培养模式的办学特色，培养既懂英语又懂商务和贸易的高素质应用型人才是本专业的培养目标。教师在教学实习环节组织学生到出口企业参观，聘请出口企业业务人员给学生做讲座，介绍出口形势、行业发展情况以及进出口中的经验教训。定期组织学生开展商务英语口语和商务英语翻译的实践活动，在实践中发现问题，解决问题，并将实践活动中出现的问题反馈到教学当中去，从而进一步明确了教学重点和教学目标，在培养学生时侧重学生英语表达能力和国际贸易实务操作能。因此，本专业的毕业生在就业选择时能够很快地适应各种工作岗位，一直深受用人单位的青睐和好评。</w:t>
      </w:r>
    </w:p>
    <w:p>
      <w:pPr>
        <w:pStyle w:val="4"/>
      </w:pPr>
      <w:bookmarkStart w:id="18" w:name="_Toc5706"/>
      <w:r>
        <w:rPr>
          <w:rFonts w:hint="eastAsia"/>
        </w:rPr>
        <w:t>（二）强化实践教学</w:t>
      </w:r>
      <w:bookmarkEnd w:id="18"/>
    </w:p>
    <w:p>
      <w:pPr>
        <w:spacing w:line="400" w:lineRule="exact"/>
        <w:ind w:firstLine="480" w:firstLineChars="200"/>
        <w:rPr>
          <w:sz w:val="24"/>
        </w:rPr>
      </w:pPr>
      <w:r>
        <w:rPr>
          <w:rFonts w:hint="eastAsia" w:cs="宋体"/>
          <w:sz w:val="24"/>
        </w:rPr>
        <w:t>商务英语专业重在培养学生的语言使用能力和商务及国际贸易的实际操作能力。为了实现这一培养目标就，学院给学生提供了丰富的语言实践平台和</w:t>
      </w:r>
      <w:r>
        <w:rPr>
          <w:sz w:val="24"/>
        </w:rPr>
        <w:t>校内</w:t>
      </w:r>
      <w:r>
        <w:rPr>
          <w:rFonts w:hint="eastAsia"/>
          <w:sz w:val="24"/>
        </w:rPr>
        <w:t>外</w:t>
      </w:r>
      <w:r>
        <w:rPr>
          <w:sz w:val="24"/>
        </w:rPr>
        <w:t>创新创业实践基地</w:t>
      </w:r>
      <w:r>
        <w:rPr>
          <w:rFonts w:hint="eastAsia"/>
          <w:sz w:val="24"/>
        </w:rPr>
        <w:t>，加上</w:t>
      </w:r>
      <w:r>
        <w:rPr>
          <w:rFonts w:hint="eastAsia" w:cs="宋体"/>
          <w:sz w:val="24"/>
        </w:rPr>
        <w:t>各类专业技能大赛、外语节、外语角、</w:t>
      </w:r>
      <w:r>
        <w:rPr>
          <w:rFonts w:hint="eastAsia"/>
          <w:sz w:val="24"/>
        </w:rPr>
        <w:t>国际性展会参观和志愿服务活动，定期与外交开展联谊和语言交流活动。商务翻译实践和商务营销方面开展的实践教学活动不仅开拓了学生视野，还大大提高了他们在实践中运用语言的能力。</w:t>
      </w:r>
    </w:p>
    <w:p>
      <w:pPr>
        <w:pStyle w:val="4"/>
      </w:pPr>
      <w:bookmarkStart w:id="19" w:name="_Toc1929"/>
      <w:r>
        <w:rPr>
          <w:rFonts w:hint="eastAsia"/>
        </w:rPr>
        <w:t>（三）培养学生的国际视野和人文情怀</w:t>
      </w:r>
      <w:bookmarkEnd w:id="19"/>
    </w:p>
    <w:p>
      <w:pPr>
        <w:adjustRightInd w:val="0"/>
        <w:spacing w:line="400" w:lineRule="exact"/>
        <w:ind w:firstLine="460" w:firstLineChars="192"/>
        <w:rPr>
          <w:rFonts w:cs="Arial"/>
          <w:sz w:val="24"/>
        </w:rPr>
      </w:pPr>
      <w:r>
        <w:rPr>
          <w:rFonts w:hint="eastAsia" w:cs="Arial"/>
          <w:sz w:val="24"/>
        </w:rPr>
        <w:t>为了开拓学生的国际视野，培养良好的人文情怀，学校与美国</w:t>
      </w:r>
      <w:r>
        <w:rPr>
          <w:rFonts w:cs="Tahoma"/>
          <w:sz w:val="24"/>
        </w:rPr>
        <w:t>班尼迪克顿大学</w:t>
      </w:r>
      <w:r>
        <w:rPr>
          <w:rFonts w:hint="eastAsia" w:cs="Tahoma"/>
          <w:sz w:val="24"/>
        </w:rPr>
        <w:t>、</w:t>
      </w:r>
      <w:r>
        <w:rPr>
          <w:rFonts w:hint="eastAsia" w:cs="Arial"/>
          <w:sz w:val="24"/>
        </w:rPr>
        <w:t>莫</w:t>
      </w:r>
      <w:r>
        <w:rPr>
          <w:rFonts w:hint="eastAsia" w:cs="Arial"/>
          <w:spacing w:val="6"/>
          <w:sz w:val="24"/>
        </w:rPr>
        <w:t>瑞州立大学、圣文森大学、英国</w:t>
      </w:r>
      <w:r>
        <w:rPr>
          <w:rFonts w:cs="Tahoma"/>
          <w:spacing w:val="6"/>
          <w:sz w:val="24"/>
        </w:rPr>
        <w:t>阿伯泰邓迪</w:t>
      </w:r>
      <w:r>
        <w:rPr>
          <w:rFonts w:hint="eastAsia" w:cs="Arial"/>
          <w:spacing w:val="6"/>
          <w:sz w:val="24"/>
        </w:rPr>
        <w:t>大学等10多</w:t>
      </w:r>
      <w:r>
        <w:rPr>
          <w:rFonts w:cs="Arial"/>
          <w:spacing w:val="6"/>
          <w:sz w:val="24"/>
        </w:rPr>
        <w:t>所英语国家高校和科研机构</w:t>
      </w:r>
      <w:r>
        <w:rPr>
          <w:rFonts w:hint="eastAsia" w:cs="Arial"/>
          <w:spacing w:val="6"/>
          <w:sz w:val="24"/>
        </w:rPr>
        <w:t>签</w:t>
      </w:r>
      <w:r>
        <w:rPr>
          <w:rFonts w:hint="eastAsia" w:cs="Arial"/>
          <w:sz w:val="24"/>
        </w:rPr>
        <w:t>订了友好交流协议</w:t>
      </w:r>
      <w:r>
        <w:rPr>
          <w:rFonts w:cs="Arial"/>
          <w:sz w:val="24"/>
        </w:rPr>
        <w:t>。</w:t>
      </w:r>
      <w:r>
        <w:rPr>
          <w:rFonts w:hint="eastAsia" w:cs="Arial"/>
          <w:sz w:val="24"/>
        </w:rPr>
        <w:t>2005年学院开办中外合作办学项目，外方合作院校为加拿大皇家大学。</w:t>
      </w:r>
    </w:p>
    <w:p>
      <w:pPr>
        <w:pStyle w:val="4"/>
      </w:pPr>
      <w:bookmarkStart w:id="20" w:name="_Toc19288"/>
      <w:r>
        <w:rPr>
          <w:rFonts w:hint="eastAsia"/>
        </w:rPr>
        <w:t>（四）强化教学管理</w:t>
      </w:r>
      <w:bookmarkEnd w:id="20"/>
    </w:p>
    <w:p>
      <w:pPr>
        <w:spacing w:line="400" w:lineRule="exact"/>
        <w:ind w:firstLine="480" w:firstLineChars="200"/>
        <w:rPr>
          <w:rFonts w:cs="Arial"/>
          <w:sz w:val="24"/>
        </w:rPr>
      </w:pPr>
      <w:r>
        <w:rPr>
          <w:rFonts w:hint="eastAsia" w:cs="Arial"/>
          <w:sz w:val="24"/>
        </w:rPr>
        <w:t>近年来随着学校对教学管理力度加大，教师对教学的投入不断增大，从备课、授课到批阅试卷、指导论文等越来越规范。严格执行学校的所有教学规章制度，教学各环节执行学校的质量标准，教学质量监控体系完善，措施得力。商务英语专业相关的教学管理规章制度主要包括：国际教育学院教师工作规范；国际教育学院教学规章制度；国际教育学院关于加强教学管理工作的意见；教学督导制度；领导、教师听课制度；教师教学质量评估制度；课堂教学质量检查制度；关于学生评教信息收集的规定等。学院成立了院长为组长、教学院长为副组长的听课工作领导小组，每学期每人至少听课6次；能够及时处理听课中发现的问题，并向教师反馈；能够通过听课及时解决学生提出的合理要求。</w:t>
      </w:r>
    </w:p>
    <w:p>
      <w:pPr>
        <w:spacing w:line="400" w:lineRule="exact"/>
        <w:ind w:firstLine="539"/>
        <w:rPr>
          <w:rFonts w:cs="Arial"/>
          <w:sz w:val="24"/>
        </w:rPr>
      </w:pPr>
      <w:r>
        <w:rPr>
          <w:rFonts w:hint="eastAsia" w:cs="Arial"/>
          <w:sz w:val="24"/>
        </w:rPr>
        <w:t>各课程考试试卷命题质量较高，难度适当，批阅严格，成绩基本成正态分布，试卷分析认真，能够客观查找存在的问题并提出改进对策，试卷存档规范，每学期初教研室主任对上学期的试卷进行检查，发现的个别问题能够及时纠正。毕业论文选题大多紧密贴近专业，工作量恰当，逻辑清晰，版面、数据处理及图表规范，有较好的文献应用和英语应用能力，附件表格及材料完整规范，每年秋季学期初对夏季学期末的毕业论文进行抽查评估，评估材料存档。</w:t>
      </w:r>
    </w:p>
    <w:p>
      <w:pPr>
        <w:spacing w:line="400" w:lineRule="exact"/>
        <w:ind w:firstLine="539"/>
        <w:rPr>
          <w:rFonts w:cs="Arial"/>
          <w:sz w:val="24"/>
        </w:rPr>
      </w:pPr>
      <w:r>
        <w:rPr>
          <w:rFonts w:hint="eastAsia" w:cs="Arial"/>
          <w:sz w:val="24"/>
        </w:rPr>
        <w:t>所有课程均有课程教学大纲，并挂在网络教学平台上，内容衔接较好，各门课程之间内容基本上不重复，且内容更新能有效衔接商务英语行业需求。授课计划齐全、规范，并挂在网络教学平台上。实验实习管理方面，实习任务书填写完整，实习组织管理规范，指导教师认真负责，效果较好。</w:t>
      </w:r>
    </w:p>
    <w:p>
      <w:pPr>
        <w:spacing w:line="400" w:lineRule="exact"/>
        <w:ind w:firstLine="480" w:firstLineChars="200"/>
        <w:rPr>
          <w:sz w:val="24"/>
        </w:rPr>
      </w:pPr>
      <w:r>
        <w:rPr>
          <w:rFonts w:hint="eastAsia" w:cs="Arial"/>
          <w:sz w:val="24"/>
        </w:rPr>
        <w:t>学院采用专人负责制和学院领导监管制度相结合的管理模式，严格监控教学过程的各个环节，以正教风和学风。这种严格的教学管理和考勤制度为学生的学习提供了良好的环境，极大地促进了专业的可持续发展。</w:t>
      </w:r>
    </w:p>
    <w:p>
      <w:pPr>
        <w:pStyle w:val="3"/>
      </w:pPr>
      <w:bookmarkStart w:id="21" w:name="_Toc6901"/>
      <w:r>
        <w:rPr>
          <w:rFonts w:hint="eastAsia"/>
        </w:rPr>
        <w:t>五、培养质量</w:t>
      </w:r>
      <w:bookmarkEnd w:id="21"/>
    </w:p>
    <w:p>
      <w:pPr>
        <w:spacing w:line="400" w:lineRule="exact"/>
        <w:ind w:firstLine="480" w:firstLineChars="200"/>
        <w:rPr>
          <w:rFonts w:cs="Arial"/>
          <w:sz w:val="24"/>
        </w:rPr>
      </w:pPr>
      <w:r>
        <w:rPr>
          <w:rFonts w:hint="eastAsia" w:cs="Arial"/>
          <w:sz w:val="24"/>
        </w:rPr>
        <w:t>2020届毕业生就业率达80%以上，就业专业对口率较高，就业单位满意率为</w:t>
      </w:r>
      <w:r>
        <w:rPr>
          <w:rFonts w:cs="Arial"/>
          <w:sz w:val="24"/>
        </w:rPr>
        <w:softHyphen/>
      </w:r>
      <w:r>
        <w:rPr>
          <w:rFonts w:hint="eastAsia" w:cs="Arial"/>
          <w:sz w:val="24"/>
        </w:rPr>
        <w:softHyphen/>
      </w:r>
      <w:r>
        <w:rPr>
          <w:rFonts w:hint="eastAsia" w:cs="Arial"/>
          <w:sz w:val="24"/>
        </w:rPr>
        <w:t>86%，毕业生现状满意度达83%，毕业生职业发展较好。毕业生的</w:t>
      </w:r>
      <w:r>
        <w:rPr>
          <w:rFonts w:hint="eastAsia"/>
          <w:sz w:val="24"/>
        </w:rPr>
        <w:t>专升本比率达</w:t>
      </w:r>
      <w:r>
        <w:rPr>
          <w:rFonts w:hint="eastAsia" w:eastAsia="仿宋_GB2312"/>
          <w:sz w:val="24"/>
        </w:rPr>
        <w:t>20%</w:t>
      </w:r>
      <w:r>
        <w:rPr>
          <w:rFonts w:hint="eastAsia" w:cs="Arial"/>
          <w:sz w:val="24"/>
        </w:rPr>
        <w:t>左右，不少学生通过自己的努力获得了专升本或出国留学深造的机会。毕业生用人单位主要是民营企业和中外合资/外资/独资企业，符合专业培养目标，毕业后从事的行业是翻译员，工作与专业相关度达60%。毕业生</w:t>
      </w:r>
      <w:r>
        <w:rPr>
          <w:rFonts w:hint="eastAsia"/>
          <w:sz w:val="24"/>
        </w:rPr>
        <w:t>就业质量良好，能很快适应本职工作。学生工作也较稳定，薪资因工作不同而不同。调查分析表明，</w:t>
      </w:r>
      <w:r>
        <w:rPr>
          <w:rFonts w:hint="eastAsia" w:cs="Arial"/>
          <w:sz w:val="24"/>
        </w:rPr>
        <w:t>社会对该专业毕业生的认可度较高，</w:t>
      </w:r>
      <w:r>
        <w:rPr>
          <w:rFonts w:hint="eastAsia"/>
          <w:sz w:val="24"/>
        </w:rPr>
        <w:t>80%以上的毕业生对所从事的工作基本满意。</w:t>
      </w:r>
    </w:p>
    <w:p>
      <w:pPr>
        <w:pStyle w:val="3"/>
      </w:pPr>
      <w:bookmarkStart w:id="22" w:name="_Toc30191"/>
      <w:r>
        <w:rPr>
          <w:rFonts w:hint="eastAsia"/>
        </w:rPr>
        <w:t>六、毕业生就业创业</w:t>
      </w:r>
      <w:bookmarkEnd w:id="22"/>
    </w:p>
    <w:p>
      <w:pPr>
        <w:spacing w:line="400" w:lineRule="exact"/>
        <w:ind w:firstLine="480" w:firstLineChars="200"/>
        <w:rPr>
          <w:sz w:val="24"/>
        </w:rPr>
      </w:pPr>
      <w:r>
        <w:rPr>
          <w:rFonts w:hint="eastAsia"/>
          <w:sz w:val="24"/>
        </w:rPr>
        <w:t>国际教育学院党政领导高度重视毕业生就业工作，毕业生指导教师、辅导员、班主任等都对毕业生就业进行咨询、辅导等帮助，鼓励学生尽早就业。</w:t>
      </w:r>
    </w:p>
    <w:p>
      <w:pPr>
        <w:spacing w:line="400" w:lineRule="exact"/>
        <w:ind w:firstLine="480" w:firstLineChars="200"/>
        <w:rPr>
          <w:sz w:val="24"/>
        </w:rPr>
      </w:pPr>
      <w:r>
        <w:rPr>
          <w:rFonts w:hint="eastAsia"/>
          <w:sz w:val="24"/>
        </w:rPr>
        <w:t>外商独资企业和中外合资企业构成了该专业毕业生用人单位的主体。大部分毕业生在国际贸易、进出口业务和外事交流岗位工作。近三年来，商务英语专业的毕业生初次就业率平均为80%，正式就业率平均75%。由于具备良好的英语语言沟通能力和较强的商务以及外贸实操能力，商务英语专业的毕业生能很快适应各自的工作岗位，其较高的素质受用人单位的一致好评。</w:t>
      </w:r>
    </w:p>
    <w:p>
      <w:pPr>
        <w:pStyle w:val="3"/>
      </w:pPr>
      <w:bookmarkStart w:id="23" w:name="_Toc30395"/>
      <w:r>
        <w:rPr>
          <w:rFonts w:hint="eastAsia"/>
        </w:rPr>
        <w:t>七、专业人才社会需求分析及专业发展趋势分析</w:t>
      </w:r>
      <w:bookmarkEnd w:id="23"/>
    </w:p>
    <w:p>
      <w:pPr>
        <w:spacing w:line="400" w:lineRule="exact"/>
        <w:ind w:firstLine="480" w:firstLineChars="200"/>
        <w:rPr>
          <w:sz w:val="24"/>
        </w:rPr>
      </w:pPr>
      <w:r>
        <w:rPr>
          <w:rFonts w:hint="eastAsia"/>
          <w:sz w:val="24"/>
        </w:rPr>
        <w:t>近年来，随着国际贸易和跨境电子商务的迅速发展，对既懂英语又具备国际贸易和电子商务知识的高素质应用型人才的需求量越来越大，为本专业的发展提供了良好的机遇和条件。尤其是今年来由于受新冠疫情的影响，国际贸易市场遭遇瓶颈，但跨境电商的迅猛发展给商务英语专业的同学带来了新的机遇。在这种新形势下，商务英语专业应</w:t>
      </w:r>
      <w:r>
        <w:rPr>
          <w:sz w:val="24"/>
        </w:rPr>
        <w:t>立足</w:t>
      </w:r>
      <w:r>
        <w:rPr>
          <w:rFonts w:hint="eastAsia"/>
          <w:sz w:val="24"/>
        </w:rPr>
        <w:t>外经贸行业和各地区域经济的发展</w:t>
      </w:r>
      <w:r>
        <w:rPr>
          <w:sz w:val="24"/>
        </w:rPr>
        <w:t>，</w:t>
      </w:r>
      <w:r>
        <w:rPr>
          <w:rFonts w:hint="eastAsia"/>
          <w:sz w:val="24"/>
        </w:rPr>
        <w:t>以市场需求为导向，深化专业建设和教学改革，</w:t>
      </w:r>
      <w:r>
        <w:rPr>
          <w:sz w:val="24"/>
        </w:rPr>
        <w:t>以培养</w:t>
      </w:r>
      <w:r>
        <w:rPr>
          <w:rFonts w:hint="eastAsia"/>
          <w:sz w:val="24"/>
        </w:rPr>
        <w:t>高素质</w:t>
      </w:r>
      <w:r>
        <w:rPr>
          <w:sz w:val="24"/>
        </w:rPr>
        <w:t>复合型人才为目标，</w:t>
      </w:r>
      <w:r>
        <w:rPr>
          <w:rFonts w:hint="eastAsia"/>
          <w:sz w:val="24"/>
        </w:rPr>
        <w:t>在培养</w:t>
      </w:r>
      <w:r>
        <w:rPr>
          <w:sz w:val="24"/>
        </w:rPr>
        <w:t>英语专业技能</w:t>
      </w:r>
      <w:r>
        <w:rPr>
          <w:rFonts w:hint="eastAsia"/>
          <w:sz w:val="24"/>
        </w:rPr>
        <w:t>的同时，进一步拓展与商贸</w:t>
      </w:r>
      <w:r>
        <w:rPr>
          <w:sz w:val="24"/>
        </w:rPr>
        <w:t>相关专业知识</w:t>
      </w:r>
      <w:r>
        <w:rPr>
          <w:rFonts w:hint="eastAsia"/>
          <w:sz w:val="24"/>
        </w:rPr>
        <w:t>，突出电子商务、跨境物流实务等专业技能的培养，着力打造“外语+外贸”的专门型和专业型人才培养模式，以</w:t>
      </w:r>
      <w:r>
        <w:rPr>
          <w:sz w:val="24"/>
        </w:rPr>
        <w:t>满足社会需求</w:t>
      </w:r>
      <w:r>
        <w:rPr>
          <w:rFonts w:hint="eastAsia"/>
          <w:sz w:val="24"/>
        </w:rPr>
        <w:t>。</w:t>
      </w:r>
    </w:p>
    <w:p>
      <w:pPr>
        <w:pStyle w:val="3"/>
      </w:pPr>
      <w:bookmarkStart w:id="24" w:name="_Toc12698"/>
      <w:r>
        <w:rPr>
          <w:rFonts w:hint="eastAsia"/>
        </w:rPr>
        <w:t>八、存在的问题及整改措施</w:t>
      </w:r>
      <w:bookmarkEnd w:id="24"/>
    </w:p>
    <w:p>
      <w:pPr>
        <w:pStyle w:val="4"/>
      </w:pPr>
      <w:bookmarkStart w:id="25" w:name="_Toc12773"/>
      <w:r>
        <w:rPr>
          <w:rFonts w:hint="eastAsia"/>
        </w:rPr>
        <w:t>（一）存在的问题</w:t>
      </w:r>
      <w:bookmarkEnd w:id="25"/>
    </w:p>
    <w:p>
      <w:pPr>
        <w:pStyle w:val="5"/>
        <w:spacing w:before="99" w:after="99"/>
      </w:pPr>
      <w:r>
        <w:rPr>
          <w:rFonts w:hint="eastAsia"/>
        </w:rPr>
        <w:t>1.</w:t>
      </w:r>
      <w:r>
        <w:t>师资队伍建设</w:t>
      </w:r>
      <w:r>
        <w:rPr>
          <w:rFonts w:hint="eastAsia"/>
        </w:rPr>
        <w:t>和科研水平</w:t>
      </w:r>
      <w:r>
        <w:t>有待</w:t>
      </w:r>
      <w:r>
        <w:rPr>
          <w:rFonts w:hint="eastAsia"/>
        </w:rPr>
        <w:t>提高</w:t>
      </w:r>
    </w:p>
    <w:p>
      <w:pPr>
        <w:spacing w:line="400" w:lineRule="exact"/>
        <w:ind w:firstLine="480" w:firstLineChars="200"/>
        <w:rPr>
          <w:kern w:val="0"/>
          <w:sz w:val="24"/>
        </w:rPr>
      </w:pPr>
      <w:r>
        <w:rPr>
          <w:kern w:val="0"/>
          <w:sz w:val="24"/>
        </w:rPr>
        <w:t>目前</w:t>
      </w:r>
      <w:r>
        <w:rPr>
          <w:rFonts w:hint="eastAsia"/>
          <w:kern w:val="0"/>
          <w:sz w:val="24"/>
        </w:rPr>
        <w:t>商务英语</w:t>
      </w:r>
      <w:r>
        <w:rPr>
          <w:kern w:val="0"/>
          <w:sz w:val="24"/>
        </w:rPr>
        <w:t>学科缺少</w:t>
      </w:r>
      <w:r>
        <w:rPr>
          <w:rFonts w:hint="eastAsia"/>
          <w:kern w:val="0"/>
          <w:sz w:val="24"/>
        </w:rPr>
        <w:t>知名学者和教师</w:t>
      </w:r>
      <w:r>
        <w:rPr>
          <w:kern w:val="0"/>
          <w:sz w:val="24"/>
        </w:rPr>
        <w:t>，师资队伍梯队建设不够合理</w:t>
      </w:r>
      <w:r>
        <w:rPr>
          <w:rFonts w:hint="eastAsia"/>
          <w:kern w:val="0"/>
          <w:sz w:val="24"/>
        </w:rPr>
        <w:t>，学历结构层次有待提高。目前该专业仍缺乏高水平的学科带头人，教师各自的研究方向比较分散，没有形成合理的教学和科研团队。授课教师的教学水平也需要提高。因此，在科研和教学两个方面，教师队伍的整体素质和水平都急需提高</w:t>
      </w:r>
      <w:r>
        <w:rPr>
          <w:kern w:val="0"/>
          <w:sz w:val="24"/>
        </w:rPr>
        <w:t>。</w:t>
      </w:r>
      <w:r>
        <w:rPr>
          <w:rFonts w:hint="eastAsia"/>
          <w:kern w:val="0"/>
          <w:sz w:val="24"/>
        </w:rPr>
        <w:t>商务英语教师的科研工作需要进一步加强。</w:t>
      </w:r>
    </w:p>
    <w:p>
      <w:pPr>
        <w:pStyle w:val="5"/>
        <w:spacing w:before="99" w:after="99"/>
      </w:pPr>
      <w:r>
        <w:rPr>
          <w:rFonts w:hint="eastAsia"/>
        </w:rPr>
        <w:t>2.商务英语专业建设和教学条件有待加强</w:t>
      </w:r>
    </w:p>
    <w:p>
      <w:pPr>
        <w:spacing w:line="400" w:lineRule="exact"/>
        <w:ind w:firstLine="480" w:firstLineChars="200"/>
        <w:rPr>
          <w:kern w:val="0"/>
          <w:sz w:val="24"/>
        </w:rPr>
      </w:pPr>
      <w:r>
        <w:rPr>
          <w:rFonts w:hint="eastAsia"/>
          <w:kern w:val="0"/>
          <w:sz w:val="24"/>
        </w:rPr>
        <w:t>专业建设存在薄弱环节，专业知识体系架构尚不完善。目前，学院尚无单独的图书资料室，与商务英语有关的图书资料较少并且相对陈旧，专业建设需要进一步扶持。学生专业实习的场所不足，导致实习实践受到一定限制。</w:t>
      </w:r>
    </w:p>
    <w:p>
      <w:pPr>
        <w:pStyle w:val="5"/>
        <w:spacing w:before="99" w:after="99"/>
      </w:pPr>
      <w:r>
        <w:rPr>
          <w:rFonts w:hint="eastAsia"/>
        </w:rPr>
        <w:t>3.学生层次参差不齐，缺乏学习动机</w:t>
      </w:r>
    </w:p>
    <w:p>
      <w:pPr>
        <w:spacing w:line="400" w:lineRule="exact"/>
        <w:ind w:firstLine="480" w:firstLineChars="200"/>
        <w:rPr>
          <w:kern w:val="0"/>
          <w:sz w:val="24"/>
        </w:rPr>
      </w:pPr>
      <w:r>
        <w:rPr>
          <w:rFonts w:hint="eastAsia"/>
          <w:kern w:val="0"/>
          <w:sz w:val="24"/>
        </w:rPr>
        <w:t>商务英语专科由于招生分数低，学生缺乏学习动机，学习主动性不强，课堂教学比较困难。</w:t>
      </w:r>
    </w:p>
    <w:p>
      <w:pPr>
        <w:pStyle w:val="4"/>
      </w:pPr>
      <w:bookmarkStart w:id="26" w:name="_Toc245450068"/>
      <w:bookmarkStart w:id="27" w:name="_Toc9274"/>
      <w:bookmarkStart w:id="28" w:name="_Toc355735570"/>
      <w:r>
        <w:rPr>
          <w:rFonts w:hint="eastAsia"/>
        </w:rPr>
        <w:t>（二）</w:t>
      </w:r>
      <w:r>
        <w:t>整改措施</w:t>
      </w:r>
      <w:bookmarkEnd w:id="26"/>
      <w:bookmarkEnd w:id="27"/>
      <w:bookmarkEnd w:id="28"/>
    </w:p>
    <w:p>
      <w:pPr>
        <w:pStyle w:val="5"/>
        <w:spacing w:before="99" w:after="99"/>
      </w:pPr>
      <w:r>
        <w:rPr>
          <w:rFonts w:hint="eastAsia"/>
        </w:rPr>
        <w:t>1.优化师资队伍结构，加强师资队伍建设</w:t>
      </w:r>
    </w:p>
    <w:p>
      <w:pPr>
        <w:spacing w:line="400" w:lineRule="exact"/>
        <w:ind w:firstLine="480" w:firstLineChars="200"/>
        <w:rPr>
          <w:kern w:val="0"/>
          <w:sz w:val="24"/>
        </w:rPr>
      </w:pPr>
      <w:r>
        <w:rPr>
          <w:rFonts w:hint="eastAsia"/>
          <w:kern w:val="0"/>
          <w:sz w:val="24"/>
        </w:rPr>
        <w:t>坚持培养和引进相结合的方法，在引进高水平人才的同时，鼓励青年教师攻读博士学位或申报国内外访学项目，提高教师科研水平和教学水平。</w:t>
      </w:r>
    </w:p>
    <w:p>
      <w:pPr>
        <w:pStyle w:val="5"/>
        <w:spacing w:before="99" w:after="99"/>
      </w:pPr>
      <w:r>
        <w:rPr>
          <w:rFonts w:hint="eastAsia"/>
        </w:rPr>
        <w:t>2.进一步加强科研与学科建设，提高办学层次和水平</w:t>
      </w:r>
    </w:p>
    <w:p>
      <w:pPr>
        <w:spacing w:line="400" w:lineRule="exact"/>
        <w:ind w:firstLine="480" w:firstLineChars="200"/>
        <w:rPr>
          <w:kern w:val="0"/>
          <w:sz w:val="24"/>
        </w:rPr>
      </w:pPr>
      <w:r>
        <w:rPr>
          <w:rFonts w:hint="eastAsia"/>
          <w:kern w:val="0"/>
          <w:sz w:val="24"/>
        </w:rPr>
        <w:t>积极加强与商务英语相结合的学科建设，培养跨学科应用型人才。加强科研立项和科研成果申报工作，选派教师参加国内外相关学术会议或短期培训。对于教学和科研成绩突出的优秀教师加大奖励力度。</w:t>
      </w:r>
    </w:p>
    <w:p>
      <w:pPr>
        <w:pStyle w:val="5"/>
        <w:spacing w:before="99" w:after="99"/>
      </w:pPr>
      <w:r>
        <w:rPr>
          <w:rFonts w:hint="eastAsia"/>
        </w:rPr>
        <w:t>3.加强学生管理，严格要求</w:t>
      </w:r>
    </w:p>
    <w:p>
      <w:pPr>
        <w:spacing w:line="400" w:lineRule="exact"/>
        <w:ind w:firstLine="480" w:firstLineChars="200"/>
        <w:rPr>
          <w:kern w:val="0"/>
          <w:sz w:val="24"/>
        </w:rPr>
      </w:pPr>
      <w:r>
        <w:rPr>
          <w:rFonts w:hint="eastAsia"/>
          <w:kern w:val="0"/>
          <w:sz w:val="24"/>
        </w:rPr>
        <w:t>为提高学生学习积极性和教学质量，学院对学生严格管理，严格考勤，学生学风大为好转。学院每学期中间开设任课教师座谈会，总结教学中存在的问题，探讨解决办法。任课教师上课时严格点名，严格要求，对故意缺课的学生进行批评处分。对问题学生多加关爱，努力改变学生的学习态度。</w:t>
      </w:r>
    </w:p>
    <w:p>
      <w:pPr>
        <w:rPr>
          <w:b/>
        </w:rPr>
        <w:sectPr>
          <w:footerReference r:id="rId4" w:type="default"/>
          <w:pgSz w:w="11906" w:h="16838"/>
          <w:pgMar w:top="1417" w:right="1417" w:bottom="1417" w:left="1417" w:header="851" w:footer="992" w:gutter="0"/>
          <w:pgNumType w:start="1"/>
          <w:cols w:space="0" w:num="1"/>
          <w:docGrid w:type="lines" w:linePitch="333" w:charSpace="0"/>
        </w:sectPr>
      </w:pPr>
    </w:p>
    <w:bookmarkEnd w:id="5"/>
    <w:p>
      <w:pPr>
        <w:pStyle w:val="2"/>
      </w:pPr>
      <w:bookmarkStart w:id="29" w:name="_Toc8649"/>
      <w:r>
        <w:rPr>
          <w:rFonts w:hint="eastAsia"/>
        </w:rPr>
        <w:t>国际教育学院</w:t>
      </w:r>
      <w:bookmarkEnd w:id="29"/>
    </w:p>
    <w:p>
      <w:pPr>
        <w:pStyle w:val="2"/>
      </w:pPr>
      <w:bookmarkStart w:id="30" w:name="_Toc24801"/>
      <w:r>
        <w:rPr>
          <w:rFonts w:hint="eastAsia"/>
        </w:rPr>
        <w:t>2019-2020学年国际经济与贸易专业人才培养报告</w:t>
      </w:r>
      <w:bookmarkEnd w:id="30"/>
    </w:p>
    <w:p>
      <w:pPr>
        <w:pStyle w:val="3"/>
      </w:pPr>
      <w:bookmarkStart w:id="31" w:name="_Toc7166"/>
      <w:r>
        <w:rPr>
          <w:rFonts w:hint="eastAsia"/>
        </w:rPr>
        <w:t>一、培养目标与规格</w:t>
      </w:r>
      <w:bookmarkEnd w:id="31"/>
    </w:p>
    <w:p>
      <w:pPr>
        <w:pStyle w:val="4"/>
      </w:pPr>
      <w:bookmarkStart w:id="32" w:name="_Toc25196"/>
      <w:r>
        <w:rPr>
          <w:rFonts w:hint="eastAsia"/>
        </w:rPr>
        <w:t>（一）培养目标</w:t>
      </w:r>
      <w:bookmarkEnd w:id="32"/>
    </w:p>
    <w:p>
      <w:pPr>
        <w:adjustRightInd w:val="0"/>
        <w:spacing w:line="400" w:lineRule="exact"/>
        <w:ind w:firstLine="480" w:firstLineChars="200"/>
        <w:rPr>
          <w:rFonts w:cs="宋体"/>
          <w:sz w:val="24"/>
        </w:rPr>
      </w:pPr>
      <w:r>
        <w:rPr>
          <w:rFonts w:hint="eastAsia" w:cs="宋体"/>
          <w:sz w:val="24"/>
          <w:lang w:val="zh-TW"/>
        </w:rPr>
        <w:t>本专业旨在培养了解经济学基本原理和国际贸易的基本理论，掌握国际贸易的基本知识与基本技能，了解当代国际经济贸易的发展现状，熟悉通行的国际贸易规则和惯例，以及中国对外贸易的政策法规，了解主要国家与地区的社会经济状况，专业技能较强，具有一定综合素质，能在涉外企业及政府相关经济贸易部门从事实际业务、管理的应用型专门人才。</w:t>
      </w:r>
    </w:p>
    <w:p>
      <w:pPr>
        <w:pStyle w:val="4"/>
        <w:rPr>
          <w:lang w:val="zh-TW" w:eastAsia="zh-TW"/>
        </w:rPr>
      </w:pPr>
      <w:bookmarkStart w:id="33" w:name="_Toc17666"/>
      <w:r>
        <w:rPr>
          <w:rFonts w:hint="eastAsia"/>
          <w:lang w:val="zh-TW"/>
        </w:rPr>
        <w:t>（二）</w:t>
      </w:r>
      <w:r>
        <w:rPr>
          <w:rFonts w:hint="eastAsia"/>
          <w:lang w:val="zh-TW" w:eastAsia="zh-TW"/>
        </w:rPr>
        <w:t>培养规格</w:t>
      </w:r>
      <w:bookmarkEnd w:id="33"/>
    </w:p>
    <w:p>
      <w:pPr>
        <w:pStyle w:val="5"/>
        <w:spacing w:before="99" w:after="99"/>
        <w:rPr>
          <w:lang w:val="zh-TW"/>
        </w:rPr>
      </w:pPr>
      <w:r>
        <w:rPr>
          <w:rFonts w:hint="eastAsia"/>
          <w:lang w:val="zh-TW"/>
        </w:rPr>
        <w:t>1.知识要求</w:t>
      </w:r>
    </w:p>
    <w:p>
      <w:pPr>
        <w:adjustRightInd w:val="0"/>
        <w:spacing w:line="400" w:lineRule="exact"/>
        <w:ind w:firstLine="480" w:firstLineChars="200"/>
        <w:rPr>
          <w:rFonts w:cs="宋体"/>
          <w:sz w:val="24"/>
          <w:lang w:val="zh-TW"/>
        </w:rPr>
      </w:pPr>
      <w:r>
        <w:rPr>
          <w:rFonts w:hint="eastAsia" w:cs="宋体"/>
          <w:sz w:val="24"/>
          <w:lang w:val="zh-TW"/>
        </w:rPr>
        <w:t>（1）具备一定的数学知识，为学习统计学奠定基础。</w:t>
      </w:r>
    </w:p>
    <w:p>
      <w:pPr>
        <w:adjustRightInd w:val="0"/>
        <w:spacing w:line="400" w:lineRule="exact"/>
        <w:ind w:firstLine="480" w:firstLineChars="200"/>
        <w:rPr>
          <w:rFonts w:cs="宋体"/>
          <w:sz w:val="24"/>
          <w:lang w:val="zh-TW"/>
        </w:rPr>
      </w:pPr>
      <w:r>
        <w:rPr>
          <w:rFonts w:hint="eastAsia" w:cs="宋体"/>
          <w:sz w:val="24"/>
          <w:lang w:val="zh-TW"/>
        </w:rPr>
        <w:t>（2）掌握经济学及国际贸易基础知识：经济学原理、统计学原理、国际贸易、国际金融学。</w:t>
      </w:r>
    </w:p>
    <w:p>
      <w:pPr>
        <w:adjustRightInd w:val="0"/>
        <w:spacing w:line="400" w:lineRule="exact"/>
        <w:ind w:firstLine="480" w:firstLineChars="200"/>
        <w:rPr>
          <w:rFonts w:cs="宋体"/>
          <w:sz w:val="24"/>
          <w:lang w:val="zh-TW"/>
        </w:rPr>
      </w:pPr>
      <w:r>
        <w:rPr>
          <w:rFonts w:hint="eastAsia" w:cs="宋体"/>
          <w:sz w:val="24"/>
          <w:lang w:val="zh-TW"/>
        </w:rPr>
        <w:t>（3）掌握一定的会计学基础、市场营销及经济法学知识：会计学原理、市场营销学、经济法。</w:t>
      </w:r>
    </w:p>
    <w:p>
      <w:pPr>
        <w:adjustRightInd w:val="0"/>
        <w:spacing w:line="400" w:lineRule="exact"/>
        <w:ind w:firstLine="480" w:firstLineChars="200"/>
        <w:rPr>
          <w:rFonts w:cs="宋体"/>
          <w:sz w:val="24"/>
          <w:lang w:val="zh-TW"/>
        </w:rPr>
      </w:pPr>
      <w:r>
        <w:rPr>
          <w:rFonts w:hint="eastAsia" w:cs="宋体"/>
          <w:sz w:val="24"/>
          <w:lang w:val="zh-TW"/>
        </w:rPr>
        <w:t>（4）比较熟练地掌握专业知识：要求掌握国际贸易实务、外贸函电、国际贸易单证实务等实务类知识。</w:t>
      </w:r>
    </w:p>
    <w:p>
      <w:pPr>
        <w:adjustRightInd w:val="0"/>
        <w:spacing w:line="400" w:lineRule="exact"/>
        <w:ind w:firstLine="480" w:firstLineChars="200"/>
        <w:rPr>
          <w:rFonts w:cs="宋体"/>
          <w:sz w:val="24"/>
          <w:lang w:val="zh-TW"/>
        </w:rPr>
      </w:pPr>
      <w:r>
        <w:rPr>
          <w:rFonts w:hint="eastAsia" w:cs="宋体"/>
          <w:sz w:val="24"/>
          <w:lang w:val="zh-TW"/>
        </w:rPr>
        <w:t>（5）人文社会科学知识：具有通识性文史哲法等方面的知识。</w:t>
      </w:r>
    </w:p>
    <w:p>
      <w:pPr>
        <w:pStyle w:val="5"/>
        <w:spacing w:before="99" w:after="99"/>
        <w:rPr>
          <w:lang w:val="zh-TW"/>
        </w:rPr>
      </w:pPr>
      <w:r>
        <w:rPr>
          <w:rFonts w:hint="eastAsia"/>
          <w:lang w:val="zh-TW"/>
        </w:rPr>
        <w:t>2.能力要求</w:t>
      </w:r>
    </w:p>
    <w:p>
      <w:pPr>
        <w:adjustRightInd w:val="0"/>
        <w:spacing w:line="400" w:lineRule="exact"/>
        <w:ind w:firstLine="480" w:firstLineChars="200"/>
        <w:rPr>
          <w:rFonts w:cs="宋体"/>
          <w:sz w:val="24"/>
          <w:lang w:val="zh-TW"/>
        </w:rPr>
      </w:pPr>
      <w:r>
        <w:rPr>
          <w:rFonts w:hint="eastAsia" w:cs="宋体"/>
          <w:sz w:val="24"/>
          <w:lang w:val="zh-TW"/>
        </w:rPr>
        <w:t>（1）比较熟练地掌握一门外语，具备听、说、读、写、译的能力；具有一定的计算机知识和应用计算机的能力。</w:t>
      </w:r>
    </w:p>
    <w:p>
      <w:pPr>
        <w:adjustRightInd w:val="0"/>
        <w:spacing w:line="400" w:lineRule="exact"/>
        <w:ind w:firstLine="480" w:firstLineChars="200"/>
        <w:rPr>
          <w:rFonts w:cs="宋体"/>
          <w:sz w:val="24"/>
          <w:lang w:val="zh-TW"/>
        </w:rPr>
      </w:pPr>
      <w:r>
        <w:rPr>
          <w:rFonts w:hint="eastAsia" w:cs="宋体"/>
          <w:sz w:val="24"/>
          <w:lang w:val="zh-TW"/>
        </w:rPr>
        <w:t>（2）应用电子商务平台进行国际贸易的能力。</w:t>
      </w:r>
    </w:p>
    <w:p>
      <w:pPr>
        <w:adjustRightInd w:val="0"/>
        <w:spacing w:line="400" w:lineRule="exact"/>
        <w:ind w:firstLine="480" w:firstLineChars="200"/>
        <w:rPr>
          <w:rFonts w:cs="宋体"/>
          <w:sz w:val="24"/>
          <w:lang w:val="zh-TW"/>
        </w:rPr>
      </w:pPr>
      <w:r>
        <w:rPr>
          <w:rFonts w:hint="eastAsia" w:cs="宋体"/>
          <w:sz w:val="24"/>
          <w:lang w:val="zh-TW"/>
        </w:rPr>
        <w:t>（3）具备进出口业务操作的基本能力。</w:t>
      </w:r>
    </w:p>
    <w:p>
      <w:pPr>
        <w:adjustRightInd w:val="0"/>
        <w:spacing w:line="400" w:lineRule="exact"/>
        <w:ind w:firstLine="480" w:firstLineChars="200"/>
        <w:rPr>
          <w:rFonts w:cs="宋体"/>
          <w:sz w:val="24"/>
          <w:lang w:val="zh-TW"/>
        </w:rPr>
      </w:pPr>
      <w:r>
        <w:rPr>
          <w:rFonts w:hint="eastAsia" w:cs="宋体"/>
          <w:sz w:val="24"/>
          <w:lang w:val="zh-TW"/>
        </w:rPr>
        <w:t>（4）具备一定的创新创业能力。</w:t>
      </w:r>
    </w:p>
    <w:p>
      <w:pPr>
        <w:pStyle w:val="5"/>
        <w:spacing w:before="99" w:after="99"/>
        <w:rPr>
          <w:lang w:val="zh-TW"/>
        </w:rPr>
      </w:pPr>
      <w:r>
        <w:rPr>
          <w:rFonts w:hint="eastAsia"/>
          <w:lang w:val="zh-TW"/>
        </w:rPr>
        <w:t>3.素质要求</w:t>
      </w:r>
    </w:p>
    <w:p>
      <w:pPr>
        <w:adjustRightInd w:val="0"/>
        <w:spacing w:line="400" w:lineRule="exact"/>
        <w:ind w:firstLine="480" w:firstLineChars="200"/>
        <w:rPr>
          <w:rFonts w:cs="宋体"/>
          <w:sz w:val="24"/>
          <w:lang w:val="zh-TW"/>
        </w:rPr>
      </w:pPr>
      <w:r>
        <w:rPr>
          <w:rFonts w:hint="eastAsia" w:cs="宋体"/>
          <w:sz w:val="24"/>
          <w:lang w:val="zh-TW"/>
        </w:rPr>
        <w:t>（1）身心素质：积极参加体育锻炼，达到大学生体育锻炼标准，受到必要的军事训练，身体健康，心理状态良好。</w:t>
      </w:r>
    </w:p>
    <w:p>
      <w:pPr>
        <w:adjustRightInd w:val="0"/>
        <w:spacing w:line="400" w:lineRule="exact"/>
        <w:ind w:firstLine="480" w:firstLineChars="200"/>
        <w:rPr>
          <w:rFonts w:cs="宋体"/>
          <w:sz w:val="24"/>
          <w:lang w:val="zh-TW"/>
        </w:rPr>
      </w:pPr>
      <w:r>
        <w:rPr>
          <w:rFonts w:hint="eastAsia" w:cs="宋体"/>
          <w:sz w:val="24"/>
          <w:lang w:val="zh-TW"/>
        </w:rPr>
        <w:t>（2）政治素质：拥有正确的世界观，具有辩证唯物主义逻辑思维能力，拥有健康的心态和较高的道德素养。</w:t>
      </w:r>
    </w:p>
    <w:p>
      <w:pPr>
        <w:pStyle w:val="3"/>
        <w:rPr>
          <w:lang w:val="zh-TW"/>
        </w:rPr>
      </w:pPr>
      <w:bookmarkStart w:id="34" w:name="_Toc25618"/>
      <w:r>
        <w:rPr>
          <w:rFonts w:hint="eastAsia"/>
          <w:lang w:val="zh-TW"/>
        </w:rPr>
        <w:t>二、培养能力</w:t>
      </w:r>
      <w:bookmarkEnd w:id="34"/>
    </w:p>
    <w:p>
      <w:pPr>
        <w:pStyle w:val="4"/>
        <w:rPr>
          <w:lang w:val="zh-TW" w:eastAsia="zh-TW"/>
        </w:rPr>
      </w:pPr>
      <w:bookmarkStart w:id="35" w:name="_Toc14619"/>
      <w:r>
        <w:rPr>
          <w:rFonts w:hint="eastAsia"/>
          <w:lang w:val="zh-TW"/>
        </w:rPr>
        <w:t>（一）专业设置情况及在校生规模</w:t>
      </w:r>
      <w:bookmarkEnd w:id="35"/>
    </w:p>
    <w:p>
      <w:pPr>
        <w:spacing w:line="400" w:lineRule="exact"/>
        <w:ind w:firstLine="480" w:firstLineChars="200"/>
        <w:rPr>
          <w:rFonts w:cs="宋体"/>
        </w:rPr>
      </w:pPr>
      <w:r>
        <w:rPr>
          <w:rFonts w:hint="eastAsia" w:cs="宋体"/>
          <w:sz w:val="24"/>
        </w:rPr>
        <w:t>国际经济与贸易专科于1992年经山东省教育厅批准设立，1993年开始招生，2005年开办中外合作办学项目，外方合作院校为加拿大皇家大学。首届招生数量60人，首届毕业生60人，至今已招收26届学生共3000余人，现已有25届国际经济与贸易毕业生3000余名。目前在校2018级4个行政班共163人。从生源结构来看，学生全部属于省内生源，其中青岛本地生约占半数。从生源质量状况看，由于招生属于专科第二批录取，大多数学生基础较弱，学习能力差，自我管控能力差。</w:t>
      </w:r>
    </w:p>
    <w:p>
      <w:pPr>
        <w:adjustRightInd w:val="0"/>
        <w:spacing w:line="400" w:lineRule="exact"/>
        <w:ind w:firstLine="480" w:firstLineChars="200"/>
        <w:rPr>
          <w:rFonts w:cs="宋体"/>
          <w:sz w:val="24"/>
        </w:rPr>
      </w:pPr>
      <w:r>
        <w:rPr>
          <w:rFonts w:hint="eastAsia" w:cs="宋体"/>
          <w:sz w:val="24"/>
        </w:rPr>
        <w:t>自招生以来，国经贸专科按照人才培养目标和人才培养的基本原则，不断加强教学体系、教学内容和教学方法的改革研究，努力创造、完善教学条件，培养适应社会需求的复合型专业人才。经过二十几年的专业建设，国经贸专科目前已发展成为青岛农业大学热门的二专专业，招生数量和质量也显著提升，师资力量、教学质量、实验室建设等软硬件得到了很大的改善。在学校应用型人才培养特色名校工程建设背景下，国经贸专科积极推进人才培养模式改革，修订完善国经贸专科人才培养方案，明确细化国经贸专科的方向定位和能力架构，按照学校人才培养模式，进一步优化国经贸专科课程体系，完善了理论教学与实验实践教学体系建设。国经贸专科软硬件条件的改善进一步保证了专业教学和人才培养质量的提升，人才培养目标定位明确、课程体系设置科学合理、教学管理制度规范完善，专业设置与建设呈现出较好发展态势。</w:t>
      </w:r>
    </w:p>
    <w:p>
      <w:pPr>
        <w:pStyle w:val="4"/>
        <w:rPr>
          <w:lang w:val="zh-TW"/>
        </w:rPr>
      </w:pPr>
      <w:bookmarkStart w:id="36" w:name="_Toc20290"/>
      <w:r>
        <w:rPr>
          <w:rFonts w:hint="eastAsia"/>
          <w:lang w:val="zh-TW"/>
        </w:rPr>
        <w:t>（二）课程设置情况</w:t>
      </w:r>
      <w:bookmarkEnd w:id="36"/>
    </w:p>
    <w:p>
      <w:pPr>
        <w:adjustRightInd w:val="0"/>
        <w:spacing w:line="400" w:lineRule="exact"/>
        <w:ind w:firstLine="480" w:firstLineChars="200"/>
        <w:rPr>
          <w:rFonts w:cs="宋体"/>
          <w:sz w:val="24"/>
        </w:rPr>
      </w:pPr>
      <w:r>
        <w:rPr>
          <w:rStyle w:val="38"/>
          <w:rFonts w:hint="eastAsia" w:cs="宋体"/>
          <w:b w:val="0"/>
          <w:sz w:val="24"/>
        </w:rPr>
        <w:t>根据我国对外经济贸易发展形势以及对国际经济与贸易人才的需求特点，专业多次培养方案修订，专业课程体系不断丰富完善。目前</w:t>
      </w:r>
      <w:r>
        <w:rPr>
          <w:rFonts w:hint="eastAsia" w:cs="宋体"/>
          <w:sz w:val="24"/>
        </w:rPr>
        <w:t>该专业的核心课程主要有经济学原理、基础会计学、统计学、国际贸易、国际金融、国际贸易实务、国际商务谈判、国际结算、外贸函电等；重视英语的应用能力培养，连续开设2个学期的英语听力和英语口语；开设了较多的选修课，以拓展学生的知识面。</w:t>
      </w:r>
    </w:p>
    <w:p>
      <w:pPr>
        <w:spacing w:line="400" w:lineRule="exact"/>
        <w:ind w:firstLine="480" w:firstLineChars="200"/>
        <w:rPr>
          <w:rFonts w:cs="宋体"/>
          <w:sz w:val="24"/>
        </w:rPr>
      </w:pPr>
      <w:r>
        <w:rPr>
          <w:rFonts w:hint="eastAsia" w:cs="宋体"/>
          <w:sz w:val="24"/>
        </w:rPr>
        <w:t>目前专业全学程课时共149周，毕业学分要求121.5学分，其中课程类学分99.5学分，包括通识课31学分，学科基础课和专业课43.5学分，专业拓展课程（选修）22学分，文化素质教育课3学分。实践类学分共22学分，入学教育、军训0.5学分，体育2.0学分，大学生体质健康测试0.5学分，毕业教育0.5学分，专业或公益劳动2.0学分，毛泽东思想和中国特色社会主义理论体系概论课程论文1.0学分，思想道德修养与法律基础、毛泽东思想和中国特色社会主义理论体系概论社会实践1.0学分，专业社会实践1.0学分等。</w:t>
      </w:r>
    </w:p>
    <w:p>
      <w:pPr>
        <w:spacing w:line="400" w:lineRule="exact"/>
        <w:ind w:firstLine="480" w:firstLineChars="200"/>
        <w:rPr>
          <w:rStyle w:val="38"/>
          <w:rFonts w:cs="宋体"/>
          <w:b w:val="0"/>
          <w:sz w:val="24"/>
        </w:rPr>
      </w:pPr>
      <w:r>
        <w:rPr>
          <w:rStyle w:val="38"/>
          <w:rFonts w:hint="eastAsia" w:cs="宋体"/>
          <w:b w:val="0"/>
          <w:sz w:val="24"/>
        </w:rPr>
        <w:t>课程体系如表1、专业实践教学如表2所示。</w:t>
      </w:r>
    </w:p>
    <w:p>
      <w:pPr>
        <w:spacing w:line="400" w:lineRule="exact"/>
        <w:jc w:val="center"/>
        <w:rPr>
          <w:rFonts w:cs="宋体"/>
          <w:szCs w:val="21"/>
        </w:rPr>
      </w:pPr>
      <w:r>
        <w:rPr>
          <w:rFonts w:hint="eastAsia" w:cs="宋体"/>
          <w:szCs w:val="21"/>
        </w:rPr>
        <w:t>表1 国际经济与贸易专科课程体系</w:t>
      </w:r>
    </w:p>
    <w:tbl>
      <w:tblPr>
        <w:tblStyle w:val="34"/>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4907"/>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tcPr>
          <w:p>
            <w:pPr>
              <w:spacing w:line="400" w:lineRule="exact"/>
              <w:jc w:val="center"/>
              <w:rPr>
                <w:rFonts w:cs="宋体"/>
                <w:b/>
                <w:sz w:val="24"/>
              </w:rPr>
            </w:pPr>
            <w:r>
              <w:rPr>
                <w:rFonts w:hint="eastAsia" w:cs="宋体"/>
                <w:b/>
                <w:sz w:val="24"/>
              </w:rPr>
              <w:t>课程性质</w:t>
            </w:r>
          </w:p>
        </w:tc>
        <w:tc>
          <w:tcPr>
            <w:tcW w:w="4907" w:type="dxa"/>
          </w:tcPr>
          <w:p>
            <w:pPr>
              <w:spacing w:line="400" w:lineRule="exact"/>
              <w:jc w:val="center"/>
              <w:rPr>
                <w:rFonts w:cs="宋体"/>
                <w:b/>
                <w:sz w:val="24"/>
              </w:rPr>
            </w:pPr>
            <w:r>
              <w:rPr>
                <w:rFonts w:hint="eastAsia" w:cs="宋体"/>
                <w:b/>
                <w:sz w:val="24"/>
              </w:rPr>
              <w:t>课程名称</w:t>
            </w:r>
          </w:p>
        </w:tc>
        <w:tc>
          <w:tcPr>
            <w:tcW w:w="1786" w:type="dxa"/>
          </w:tcPr>
          <w:p>
            <w:pPr>
              <w:spacing w:line="400" w:lineRule="exact"/>
              <w:jc w:val="center"/>
              <w:rPr>
                <w:rFonts w:cs="宋体"/>
                <w:b/>
                <w:sz w:val="24"/>
              </w:rPr>
            </w:pPr>
            <w:r>
              <w:rPr>
                <w:rFonts w:hint="eastAsia" w:cs="宋体"/>
                <w:b/>
                <w:sz w:val="24"/>
              </w:rPr>
              <w:t>设置目标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spacing w:line="400" w:lineRule="exact"/>
              <w:jc w:val="center"/>
              <w:rPr>
                <w:rFonts w:cs="宋体"/>
                <w:bCs/>
              </w:rPr>
            </w:pPr>
            <w:r>
              <w:rPr>
                <w:rFonts w:hint="eastAsia" w:cs="宋体"/>
                <w:bCs/>
              </w:rPr>
              <w:t>通识课</w:t>
            </w:r>
          </w:p>
        </w:tc>
        <w:tc>
          <w:tcPr>
            <w:tcW w:w="4907" w:type="dxa"/>
            <w:vAlign w:val="center"/>
          </w:tcPr>
          <w:p>
            <w:pPr>
              <w:spacing w:line="400" w:lineRule="exact"/>
              <w:rPr>
                <w:rFonts w:cs="宋体"/>
                <w:bCs/>
              </w:rPr>
            </w:pPr>
            <w:r>
              <w:rPr>
                <w:rFonts w:hint="eastAsia" w:cs="宋体"/>
                <w:bCs/>
              </w:rPr>
              <w:t>综合英语、英语听力、英语口语、思想道德修养与法律基础、毛泽东思想、邓小平理论和三个代表重要思想概论、计算机基础与办公自动化</w:t>
            </w:r>
          </w:p>
        </w:tc>
        <w:tc>
          <w:tcPr>
            <w:tcW w:w="1786" w:type="dxa"/>
            <w:vAlign w:val="center"/>
          </w:tcPr>
          <w:p>
            <w:pPr>
              <w:spacing w:line="400" w:lineRule="exact"/>
              <w:jc w:val="center"/>
              <w:rPr>
                <w:rFonts w:cs="宋体"/>
                <w:bCs/>
              </w:rPr>
            </w:pPr>
            <w:r>
              <w:rPr>
                <w:rFonts w:hint="eastAsia" w:cs="宋体"/>
                <w:bCs/>
              </w:rPr>
              <w:t>培养学生的基本素质和基本能力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spacing w:line="400" w:lineRule="exact"/>
              <w:jc w:val="center"/>
              <w:rPr>
                <w:rFonts w:cs="宋体"/>
                <w:bCs/>
              </w:rPr>
            </w:pPr>
            <w:r>
              <w:rPr>
                <w:rFonts w:hint="eastAsia" w:cs="宋体"/>
                <w:bCs/>
              </w:rPr>
              <w:t>学科基础课</w:t>
            </w:r>
          </w:p>
        </w:tc>
        <w:tc>
          <w:tcPr>
            <w:tcW w:w="4907" w:type="dxa"/>
            <w:vAlign w:val="center"/>
          </w:tcPr>
          <w:p>
            <w:pPr>
              <w:autoSpaceDE w:val="0"/>
              <w:autoSpaceDN w:val="0"/>
              <w:adjustRightInd w:val="0"/>
              <w:spacing w:line="400" w:lineRule="exact"/>
              <w:rPr>
                <w:rFonts w:cs="宋体"/>
                <w:bCs/>
              </w:rPr>
            </w:pPr>
            <w:r>
              <w:rPr>
                <w:rFonts w:hint="eastAsia" w:cs="宋体"/>
                <w:bCs/>
              </w:rPr>
              <w:t>高等数学、概率论与数理统计、经济学原理、基础会计学、统计学原理、经济法、国际贸易、国际金融、市场营销学、管理学原理</w:t>
            </w:r>
          </w:p>
        </w:tc>
        <w:tc>
          <w:tcPr>
            <w:tcW w:w="1786" w:type="dxa"/>
            <w:vAlign w:val="center"/>
          </w:tcPr>
          <w:p>
            <w:pPr>
              <w:spacing w:line="400" w:lineRule="exact"/>
              <w:jc w:val="center"/>
              <w:rPr>
                <w:rFonts w:cs="宋体"/>
                <w:bCs/>
              </w:rPr>
            </w:pPr>
            <w:r>
              <w:rPr>
                <w:rFonts w:hint="eastAsia" w:cs="宋体"/>
                <w:bCs/>
              </w:rPr>
              <w:t>培养学生的专业基础素质和能力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spacing w:line="400" w:lineRule="exact"/>
              <w:jc w:val="center"/>
              <w:rPr>
                <w:rFonts w:cs="宋体"/>
                <w:bCs/>
              </w:rPr>
            </w:pPr>
            <w:r>
              <w:rPr>
                <w:rFonts w:hint="eastAsia" w:cs="宋体"/>
                <w:bCs/>
              </w:rPr>
              <w:t>专业课</w:t>
            </w:r>
          </w:p>
        </w:tc>
        <w:tc>
          <w:tcPr>
            <w:tcW w:w="4907" w:type="dxa"/>
            <w:vAlign w:val="center"/>
          </w:tcPr>
          <w:p>
            <w:pPr>
              <w:autoSpaceDE w:val="0"/>
              <w:autoSpaceDN w:val="0"/>
              <w:adjustRightInd w:val="0"/>
              <w:spacing w:line="400" w:lineRule="exact"/>
              <w:rPr>
                <w:rFonts w:cs="宋体"/>
                <w:bCs/>
                <w:color w:val="000000"/>
                <w:szCs w:val="21"/>
                <w:lang w:val="zh-CN"/>
              </w:rPr>
            </w:pPr>
            <w:r>
              <w:rPr>
                <w:rFonts w:hint="eastAsia" w:cs="宋体"/>
                <w:bCs/>
                <w:color w:val="000000"/>
                <w:szCs w:val="21"/>
                <w:lang w:val="zh-CN"/>
              </w:rPr>
              <w:t>国际贸易实务、国际结算、进出口单证、国际商务谈判、外贸函电</w:t>
            </w:r>
          </w:p>
        </w:tc>
        <w:tc>
          <w:tcPr>
            <w:tcW w:w="1786" w:type="dxa"/>
            <w:vAlign w:val="center"/>
          </w:tcPr>
          <w:p>
            <w:pPr>
              <w:spacing w:line="400" w:lineRule="exact"/>
              <w:jc w:val="center"/>
              <w:rPr>
                <w:rFonts w:cs="宋体"/>
                <w:bCs/>
              </w:rPr>
            </w:pPr>
            <w:r>
              <w:rPr>
                <w:rFonts w:hint="eastAsia" w:cs="宋体"/>
                <w:bCs/>
              </w:rPr>
              <w:t>培养学生的专业素质和专业能力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897" w:type="dxa"/>
            <w:vAlign w:val="center"/>
          </w:tcPr>
          <w:p>
            <w:pPr>
              <w:spacing w:line="400" w:lineRule="exact"/>
              <w:jc w:val="center"/>
              <w:rPr>
                <w:rFonts w:cs="宋体"/>
                <w:bCs/>
              </w:rPr>
            </w:pPr>
            <w:r>
              <w:rPr>
                <w:rFonts w:hint="eastAsia" w:cs="宋体"/>
                <w:bCs/>
              </w:rPr>
              <w:t>专业拓展课</w:t>
            </w:r>
          </w:p>
        </w:tc>
        <w:tc>
          <w:tcPr>
            <w:tcW w:w="4907" w:type="dxa"/>
            <w:vAlign w:val="center"/>
          </w:tcPr>
          <w:p>
            <w:pPr>
              <w:autoSpaceDE w:val="0"/>
              <w:autoSpaceDN w:val="0"/>
              <w:adjustRightInd w:val="0"/>
              <w:spacing w:line="400" w:lineRule="exact"/>
              <w:rPr>
                <w:rFonts w:cs="宋体"/>
                <w:bCs/>
              </w:rPr>
            </w:pPr>
            <w:r>
              <w:rPr>
                <w:rFonts w:hint="eastAsia" w:cs="宋体"/>
                <w:bCs/>
                <w:color w:val="000000"/>
                <w:szCs w:val="21"/>
                <w:lang w:val="zh-CN"/>
              </w:rPr>
              <w:t>剑桥商务英语、韩语、合同法、管理学原理、（雅思）英语、人力资源管理、物流与供应链管理、国际贸易地理、国际货物运输、外汇投资、国际商法、经济写作、证券投资、公共关系学</w:t>
            </w:r>
          </w:p>
        </w:tc>
        <w:tc>
          <w:tcPr>
            <w:tcW w:w="1786" w:type="dxa"/>
            <w:vAlign w:val="center"/>
          </w:tcPr>
          <w:p>
            <w:pPr>
              <w:spacing w:line="400" w:lineRule="exact"/>
              <w:jc w:val="center"/>
              <w:rPr>
                <w:rFonts w:cs="宋体"/>
                <w:bCs/>
              </w:rPr>
            </w:pPr>
            <w:r>
              <w:rPr>
                <w:rFonts w:hint="eastAsia" w:cs="宋体"/>
                <w:bCs/>
              </w:rPr>
              <w:t>拓展学生的进出口业务技能</w:t>
            </w:r>
          </w:p>
        </w:tc>
      </w:tr>
    </w:tbl>
    <w:p>
      <w:pPr>
        <w:spacing w:line="360" w:lineRule="auto"/>
        <w:ind w:firstLine="539"/>
        <w:jc w:val="center"/>
        <w:rPr>
          <w:rFonts w:cs="宋体"/>
          <w:szCs w:val="21"/>
        </w:rPr>
      </w:pPr>
    </w:p>
    <w:p>
      <w:pPr>
        <w:spacing w:line="360" w:lineRule="auto"/>
        <w:ind w:firstLine="539"/>
        <w:jc w:val="center"/>
        <w:rPr>
          <w:rFonts w:eastAsia="仿宋_GB2312"/>
          <w:kern w:val="0"/>
          <w:sz w:val="28"/>
          <w:szCs w:val="28"/>
        </w:rPr>
      </w:pPr>
      <w:r>
        <w:rPr>
          <w:rFonts w:hint="eastAsia" w:cs="宋体"/>
          <w:szCs w:val="21"/>
        </w:rPr>
        <w:t>表2  国际经济与贸易专科实践课程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0"/>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
                <w:kern w:val="0"/>
                <w:sz w:val="24"/>
              </w:rPr>
            </w:pPr>
            <w:r>
              <w:rPr>
                <w:rFonts w:hint="eastAsia" w:cs="宋体"/>
                <w:b/>
                <w:kern w:val="0"/>
                <w:sz w:val="24"/>
              </w:rPr>
              <w:t>课程名称</w:t>
            </w:r>
          </w:p>
        </w:tc>
        <w:tc>
          <w:tcPr>
            <w:tcW w:w="3224" w:type="dxa"/>
            <w:vAlign w:val="center"/>
          </w:tcPr>
          <w:p>
            <w:pPr>
              <w:widowControl/>
              <w:spacing w:line="400" w:lineRule="exact"/>
              <w:jc w:val="center"/>
              <w:rPr>
                <w:rFonts w:cs="宋体"/>
                <w:b/>
                <w:kern w:val="0"/>
                <w:sz w:val="24"/>
              </w:rPr>
            </w:pPr>
            <w:r>
              <w:rPr>
                <w:rFonts w:hint="eastAsia" w:cs="宋体"/>
                <w:b/>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spacing w:line="400" w:lineRule="exact"/>
              <w:jc w:val="center"/>
              <w:rPr>
                <w:rFonts w:cs="宋体"/>
                <w:bCs/>
                <w:kern w:val="0"/>
                <w:szCs w:val="21"/>
              </w:rPr>
            </w:pPr>
            <w:r>
              <w:rPr>
                <w:rFonts w:hint="eastAsia" w:cs="宋体"/>
                <w:bCs/>
                <w:kern w:val="0"/>
                <w:szCs w:val="21"/>
              </w:rPr>
              <w:t>计算机基础与办公自动化</w:t>
            </w:r>
          </w:p>
        </w:tc>
        <w:tc>
          <w:tcPr>
            <w:tcW w:w="3224" w:type="dxa"/>
            <w:vAlign w:val="center"/>
          </w:tcPr>
          <w:p>
            <w:pPr>
              <w:spacing w:line="400" w:lineRule="exact"/>
              <w:jc w:val="center"/>
              <w:rPr>
                <w:rFonts w:cs="宋体"/>
                <w:bCs/>
                <w:szCs w:val="21"/>
              </w:rPr>
            </w:pPr>
            <w:r>
              <w:rPr>
                <w:rFonts w:hint="eastAsia" w:cs="宋体"/>
                <w:bCs/>
                <w:szCs w:val="21"/>
              </w:rPr>
              <w:t>64学时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进出口单证实验</w:t>
            </w:r>
          </w:p>
        </w:tc>
        <w:tc>
          <w:tcPr>
            <w:tcW w:w="3224" w:type="dxa"/>
            <w:vAlign w:val="center"/>
          </w:tcPr>
          <w:p>
            <w:pPr>
              <w:widowControl/>
              <w:spacing w:line="400" w:lineRule="exact"/>
              <w:jc w:val="center"/>
              <w:rPr>
                <w:rFonts w:cs="宋体"/>
                <w:bCs/>
                <w:szCs w:val="21"/>
              </w:rPr>
            </w:pPr>
            <w:r>
              <w:rPr>
                <w:rFonts w:hint="eastAsia" w:cs="宋体"/>
                <w:bCs/>
                <w:szCs w:val="21"/>
              </w:rPr>
              <w:t>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电子商务概论实验</w:t>
            </w:r>
          </w:p>
        </w:tc>
        <w:tc>
          <w:tcPr>
            <w:tcW w:w="3224" w:type="dxa"/>
            <w:vAlign w:val="center"/>
          </w:tcPr>
          <w:p>
            <w:pPr>
              <w:widowControl/>
              <w:spacing w:line="400" w:lineRule="exact"/>
              <w:jc w:val="center"/>
              <w:rPr>
                <w:rFonts w:cs="宋体"/>
                <w:bCs/>
                <w:szCs w:val="21"/>
              </w:rPr>
            </w:pPr>
            <w:r>
              <w:rPr>
                <w:rFonts w:hint="eastAsia" w:cs="宋体"/>
                <w:bCs/>
                <w:szCs w:val="21"/>
              </w:rPr>
              <w:t>24学时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国际商务谈判实验</w:t>
            </w:r>
          </w:p>
        </w:tc>
        <w:tc>
          <w:tcPr>
            <w:tcW w:w="3224" w:type="dxa"/>
            <w:vAlign w:val="center"/>
          </w:tcPr>
          <w:p>
            <w:pPr>
              <w:widowControl/>
              <w:spacing w:line="400" w:lineRule="exact"/>
              <w:jc w:val="center"/>
              <w:rPr>
                <w:rFonts w:cs="宋体"/>
                <w:bCs/>
                <w:szCs w:val="21"/>
              </w:rPr>
            </w:pPr>
            <w:r>
              <w:rPr>
                <w:rFonts w:hint="eastAsia" w:cs="宋体"/>
                <w:bCs/>
                <w:szCs w:val="21"/>
              </w:rPr>
              <w:t>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入学教育、军训</w:t>
            </w:r>
          </w:p>
        </w:tc>
        <w:tc>
          <w:tcPr>
            <w:tcW w:w="3224" w:type="dxa"/>
            <w:vAlign w:val="center"/>
          </w:tcPr>
          <w:p>
            <w:pPr>
              <w:widowControl/>
              <w:spacing w:line="400" w:lineRule="exact"/>
              <w:jc w:val="center"/>
              <w:rPr>
                <w:rFonts w:cs="宋体"/>
                <w:bCs/>
                <w:szCs w:val="21"/>
              </w:rPr>
            </w:pPr>
            <w:r>
              <w:rPr>
                <w:rFonts w:hint="eastAsia" w:cs="宋体"/>
                <w:bCs/>
                <w:szCs w:val="21"/>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毕业教育</w:t>
            </w:r>
          </w:p>
        </w:tc>
        <w:tc>
          <w:tcPr>
            <w:tcW w:w="3224" w:type="dxa"/>
            <w:vAlign w:val="center"/>
          </w:tcPr>
          <w:p>
            <w:pPr>
              <w:widowControl/>
              <w:spacing w:line="400" w:lineRule="exact"/>
              <w:jc w:val="center"/>
              <w:rPr>
                <w:rFonts w:cs="宋体"/>
                <w:bCs/>
                <w:szCs w:val="21"/>
              </w:rPr>
            </w:pPr>
            <w:r>
              <w:rPr>
                <w:rFonts w:hint="eastAsia" w:cs="宋体"/>
                <w:bCs/>
                <w:szCs w:val="21"/>
              </w:rPr>
              <w:t>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两课及专业社会实践</w:t>
            </w:r>
          </w:p>
        </w:tc>
        <w:tc>
          <w:tcPr>
            <w:tcW w:w="3224" w:type="dxa"/>
            <w:vAlign w:val="center"/>
          </w:tcPr>
          <w:p>
            <w:pPr>
              <w:widowControl/>
              <w:spacing w:line="400" w:lineRule="exact"/>
              <w:jc w:val="center"/>
              <w:rPr>
                <w:rFonts w:cs="宋体"/>
                <w:bCs/>
                <w:szCs w:val="21"/>
              </w:rPr>
            </w:pPr>
            <w:r>
              <w:rPr>
                <w:rFonts w:hint="eastAsia" w:cs="宋体"/>
                <w:bCs/>
                <w:szCs w:val="21"/>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毛泽东思想、思修课程论文</w:t>
            </w:r>
          </w:p>
        </w:tc>
        <w:tc>
          <w:tcPr>
            <w:tcW w:w="3224" w:type="dxa"/>
            <w:vAlign w:val="center"/>
          </w:tcPr>
          <w:p>
            <w:pPr>
              <w:widowControl/>
              <w:spacing w:line="400" w:lineRule="exact"/>
              <w:jc w:val="center"/>
              <w:rPr>
                <w:rFonts w:cs="宋体"/>
                <w:bCs/>
                <w:szCs w:val="21"/>
              </w:rPr>
            </w:pPr>
            <w:r>
              <w:rPr>
                <w:rFonts w:hint="eastAsia" w:cs="宋体"/>
                <w:bCs/>
                <w:szCs w:val="21"/>
              </w:rPr>
              <w:t>2.5周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国际贸易综合实训</w:t>
            </w:r>
          </w:p>
        </w:tc>
        <w:tc>
          <w:tcPr>
            <w:tcW w:w="3224" w:type="dxa"/>
            <w:vAlign w:val="center"/>
          </w:tcPr>
          <w:p>
            <w:pPr>
              <w:widowControl/>
              <w:spacing w:line="400" w:lineRule="exact"/>
              <w:jc w:val="center"/>
              <w:rPr>
                <w:rFonts w:cs="宋体"/>
                <w:bCs/>
                <w:szCs w:val="21"/>
              </w:rPr>
            </w:pPr>
            <w:r>
              <w:rPr>
                <w:rFonts w:hint="eastAsia" w:cs="宋体"/>
                <w:bCs/>
                <w:szCs w:val="21"/>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毕业实习</w:t>
            </w:r>
          </w:p>
        </w:tc>
        <w:tc>
          <w:tcPr>
            <w:tcW w:w="3224" w:type="dxa"/>
            <w:vAlign w:val="center"/>
          </w:tcPr>
          <w:p>
            <w:pPr>
              <w:widowControl/>
              <w:spacing w:line="400" w:lineRule="exact"/>
              <w:jc w:val="center"/>
              <w:rPr>
                <w:rFonts w:cs="宋体"/>
                <w:bCs/>
                <w:szCs w:val="21"/>
              </w:rPr>
            </w:pPr>
            <w:r>
              <w:rPr>
                <w:rFonts w:hint="eastAsia" w:cs="宋体"/>
                <w:bCs/>
                <w:szCs w:val="21"/>
              </w:rPr>
              <w:t>16周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10" w:type="dxa"/>
            <w:vAlign w:val="center"/>
          </w:tcPr>
          <w:p>
            <w:pPr>
              <w:widowControl/>
              <w:spacing w:line="400" w:lineRule="exact"/>
              <w:jc w:val="center"/>
              <w:rPr>
                <w:rFonts w:cs="宋体"/>
                <w:bCs/>
                <w:szCs w:val="21"/>
              </w:rPr>
            </w:pPr>
            <w:r>
              <w:rPr>
                <w:rFonts w:hint="eastAsia" w:cs="宋体"/>
                <w:bCs/>
                <w:szCs w:val="21"/>
              </w:rPr>
              <w:t>毕业实习报告</w:t>
            </w:r>
          </w:p>
        </w:tc>
        <w:tc>
          <w:tcPr>
            <w:tcW w:w="3224" w:type="dxa"/>
            <w:vAlign w:val="center"/>
          </w:tcPr>
          <w:p>
            <w:pPr>
              <w:widowControl/>
              <w:spacing w:line="400" w:lineRule="exact"/>
              <w:jc w:val="center"/>
              <w:rPr>
                <w:rFonts w:cs="宋体"/>
                <w:bCs/>
                <w:szCs w:val="21"/>
              </w:rPr>
            </w:pPr>
            <w:r>
              <w:rPr>
                <w:rFonts w:hint="eastAsia" w:cs="宋体"/>
                <w:bCs/>
                <w:szCs w:val="21"/>
              </w:rPr>
              <w:t>2周</w:t>
            </w:r>
          </w:p>
        </w:tc>
      </w:tr>
    </w:tbl>
    <w:p>
      <w:pPr>
        <w:adjustRightInd w:val="0"/>
        <w:spacing w:line="360" w:lineRule="auto"/>
        <w:ind w:firstLine="460" w:firstLineChars="192"/>
        <w:rPr>
          <w:rFonts w:eastAsia="仿宋_GB2312"/>
          <w:sz w:val="24"/>
        </w:rPr>
      </w:pPr>
    </w:p>
    <w:p>
      <w:pPr>
        <w:pStyle w:val="3"/>
        <w:rPr>
          <w:lang w:val="zh-TW"/>
        </w:rPr>
      </w:pPr>
      <w:bookmarkStart w:id="37" w:name="_Toc2362"/>
      <w:r>
        <w:rPr>
          <w:rFonts w:hint="eastAsia"/>
          <w:lang w:val="zh-TW"/>
        </w:rPr>
        <w:t>三、培养条件</w:t>
      </w:r>
      <w:bookmarkEnd w:id="37"/>
    </w:p>
    <w:p>
      <w:pPr>
        <w:pStyle w:val="4"/>
        <w:rPr>
          <w:lang w:val="zh-TW"/>
        </w:rPr>
      </w:pPr>
      <w:bookmarkStart w:id="38" w:name="_Toc29053"/>
      <w:r>
        <w:rPr>
          <w:rFonts w:hint="eastAsia"/>
          <w:lang w:val="zh-TW"/>
        </w:rPr>
        <w:t>（一）教学经费投入</w:t>
      </w:r>
      <w:bookmarkEnd w:id="38"/>
    </w:p>
    <w:p>
      <w:pPr>
        <w:spacing w:line="400" w:lineRule="exact"/>
        <w:ind w:firstLine="539"/>
        <w:rPr>
          <w:rFonts w:cs="宋体"/>
          <w:sz w:val="24"/>
        </w:rPr>
      </w:pPr>
      <w:r>
        <w:rPr>
          <w:rFonts w:hint="eastAsia" w:cs="宋体"/>
          <w:sz w:val="24"/>
        </w:rPr>
        <w:t>国际经济与贸易专业的师资队伍建设、实验室建设、课程建设、教材建设、教学研究项目等专项建设经费较充足，能够做到开支使用合理，建设规划和措施到位，管理制度健全规范，执行效果好。</w:t>
      </w:r>
    </w:p>
    <w:p>
      <w:pPr>
        <w:spacing w:line="400" w:lineRule="exact"/>
        <w:ind w:firstLine="539"/>
        <w:rPr>
          <w:rFonts w:cs="宋体"/>
          <w:sz w:val="24"/>
        </w:rPr>
      </w:pPr>
      <w:r>
        <w:rPr>
          <w:rFonts w:hint="eastAsia" w:cs="宋体"/>
          <w:sz w:val="24"/>
        </w:rPr>
        <w:t>目前国际经济与贸易专业的教学经费投入主要涉及校级、院级课程建设、教研教改项目、实验中心建设等方面。专业发展教学经费投入较充足，基本与日前专业发展规模相适应。建设完成的经济与管理类教学实验中心建筑面积约1500平方米，建设有3个标准化实验室，配备了先进的教学仪器设备和教学软件，为国际经济与贸易专业学生的实验实践能力的培养提供了良好的平台。依托学校应用型特色人才培养名校工程建设，国际经济与贸易专业积极申报课程建设项目，争取大量的教学经费提升教学改革效果。在完成校级优秀课程《管理学原理》、校级A类课程《统计学原理》、《经济法》、B类课程《国际贸易实务》、《国际贸易》等课程建设的基础上，2015年以来陆续成功申报了《国际商务谈判》、《国际货物运输》等多门院级重点课程的建设项目，获得经费支持近十万元。目前用于调研、外出培训学习等投入8万元，教材建设以及教学软件的开发购置等共投入10万余元。</w:t>
      </w:r>
    </w:p>
    <w:p>
      <w:pPr>
        <w:pStyle w:val="4"/>
        <w:rPr>
          <w:lang w:val="zh-TW"/>
        </w:rPr>
      </w:pPr>
      <w:bookmarkStart w:id="39" w:name="_Toc5090"/>
      <w:r>
        <w:rPr>
          <w:rFonts w:hint="eastAsia"/>
          <w:lang w:val="zh-TW"/>
        </w:rPr>
        <w:t>（二）教学设备</w:t>
      </w:r>
      <w:bookmarkEnd w:id="39"/>
      <w:r>
        <w:rPr>
          <w:rFonts w:hint="eastAsia"/>
          <w:lang w:val="zh-TW"/>
        </w:rPr>
        <w:tab/>
      </w:r>
    </w:p>
    <w:p>
      <w:pPr>
        <w:spacing w:line="400" w:lineRule="exact"/>
        <w:ind w:firstLine="480" w:firstLineChars="200"/>
        <w:rPr>
          <w:rFonts w:cs="宋体"/>
          <w:kern w:val="0"/>
          <w:sz w:val="24"/>
        </w:rPr>
      </w:pPr>
      <w:r>
        <w:rPr>
          <w:rFonts w:hint="eastAsia" w:cs="宋体"/>
          <w:kern w:val="0"/>
          <w:sz w:val="24"/>
        </w:rPr>
        <w:t>国际经济与贸易专业教学设备主要包括课堂讲授所使用的多媒体、国际经济与贸易专业实验室的建设，目前与其它专业统一整合为国际教育学院实验中心。在原有实验室的基础上，通过资源整合建成经济与管理类教学实验中心，成为一个集实验教学和教学实习于一体的综合性实验中心。实验中心建筑面积约1500平方米，累计投入资金318万元，建设有3个标准化实验室，可一次容纳230人参加实习；实验室配备了先进的教学仪器设备和教学软件，其中包括服务器、高性能PC机、LED大屏幕、教学监控、演示系统、卫星传输系统等共计648台仪器设备，仪器设备利用率达到97%以上，常规仪器设备完好率均在99%以上；同时配备了PTOT实习系统、证券投资模拟交易系统、电子商务模拟教学系统等教学软件，为国际经济与贸易专业学生的实验实习提供了良好的教学条件。</w:t>
      </w:r>
    </w:p>
    <w:p>
      <w:pPr>
        <w:pStyle w:val="4"/>
        <w:rPr>
          <w:lang w:val="zh-TW"/>
        </w:rPr>
      </w:pPr>
      <w:bookmarkStart w:id="40" w:name="_Toc539"/>
      <w:r>
        <w:rPr>
          <w:rFonts w:hint="eastAsia"/>
          <w:lang w:val="zh-TW"/>
        </w:rPr>
        <w:t>（三）教师队伍建设</w:t>
      </w:r>
      <w:bookmarkEnd w:id="40"/>
    </w:p>
    <w:p>
      <w:pPr>
        <w:pStyle w:val="5"/>
        <w:spacing w:before="99" w:after="99"/>
        <w:rPr>
          <w:lang w:val="zh-TW"/>
        </w:rPr>
      </w:pPr>
      <w:r>
        <w:rPr>
          <w:rFonts w:hint="eastAsia"/>
        </w:rPr>
        <w:t>1.</w:t>
      </w:r>
      <w:r>
        <w:rPr>
          <w:rFonts w:hint="eastAsia"/>
          <w:lang w:val="zh-TW"/>
        </w:rPr>
        <w:t>数量与结构</w:t>
      </w:r>
    </w:p>
    <w:p>
      <w:pPr>
        <w:spacing w:line="400" w:lineRule="exact"/>
        <w:ind w:firstLine="480" w:firstLineChars="200"/>
        <w:rPr>
          <w:rFonts w:cs="宋体"/>
          <w:sz w:val="24"/>
        </w:rPr>
      </w:pPr>
      <w:r>
        <w:rPr>
          <w:rFonts w:hint="eastAsia" w:cs="宋体"/>
          <w:sz w:val="24"/>
        </w:rPr>
        <w:t>目前有专业基础课和专业课教师16人，其中，正教授2人，副教授4人，讲师10人，高级职称占比37.5%；硕士以上教师100%，博士学位教师6人，占37.5%；50岁以上教师2人，35岁以上50岁以下12人，35岁以下青年教师2人，中年教师占75%。在结构合理、梯队整齐的原则指导下，近五年新增加教授1位，副教授2位。学校以及学院鼓励中青年教师攻读博士学位，学成归来的教师可以获得3万元的博士基金项目，并且每月补贴800元生活费。</w:t>
      </w:r>
    </w:p>
    <w:p>
      <w:pPr>
        <w:spacing w:line="400" w:lineRule="exact"/>
        <w:ind w:firstLine="480" w:firstLineChars="200"/>
        <w:rPr>
          <w:rFonts w:cs="宋体"/>
          <w:sz w:val="24"/>
        </w:rPr>
      </w:pPr>
      <w:r>
        <w:rPr>
          <w:rFonts w:hint="eastAsia" w:cs="宋体"/>
          <w:sz w:val="24"/>
        </w:rPr>
        <w:t>本专业教师职称、年龄已形成合理梯队，是一支年富力强的具有发展潜力的教学团队。从学缘结构看，本专业的专职教师，分别毕业于上海对外贸易大学、山东大学、青岛大学、中国海洋大学、南京农业大学、山东财经大学等院校，教师学缘结构合理。各位教师爱岗敬业，积极钻研，大胆探索教育教学改革，教学效果得到了学生的肯定和好评。教师专业（研究方向）与专业吻合度较高，能满足所讲授课程需要。</w:t>
      </w:r>
    </w:p>
    <w:p>
      <w:pPr>
        <w:spacing w:line="400" w:lineRule="exact"/>
        <w:ind w:firstLine="480" w:firstLineChars="200"/>
        <w:rPr>
          <w:rFonts w:cs="宋体"/>
          <w:sz w:val="24"/>
        </w:rPr>
      </w:pPr>
      <w:r>
        <w:rPr>
          <w:rFonts w:hint="eastAsia" w:cs="宋体"/>
          <w:sz w:val="24"/>
        </w:rPr>
        <w:t>总体来看，国经贸专业师资比较充足，能满足教学和专业发展需要。主讲教师的学历、学位、年龄、职称、学缘、学科结构合理。</w:t>
      </w:r>
    </w:p>
    <w:p>
      <w:pPr>
        <w:spacing w:line="400" w:lineRule="exact"/>
        <w:ind w:firstLine="420" w:firstLineChars="200"/>
        <w:jc w:val="center"/>
        <w:rPr>
          <w:rFonts w:cs="宋体"/>
          <w:kern w:val="0"/>
          <w:sz w:val="24"/>
        </w:rPr>
      </w:pPr>
      <w:r>
        <w:rPr>
          <w:rFonts w:hint="eastAsia" w:cs="宋体"/>
          <w:szCs w:val="21"/>
        </w:rPr>
        <w:t>表3  部分专业基础课及专业课师资基本情况</w:t>
      </w:r>
    </w:p>
    <w:tbl>
      <w:tblPr>
        <w:tblStyle w:val="34"/>
        <w:tblpPr w:leftFromText="180" w:rightFromText="180" w:vertAnchor="text" w:horzAnchor="page" w:tblpX="1823" w:tblpY="131"/>
        <w:tblOverlap w:val="never"/>
        <w:tblW w:w="8688" w:type="dxa"/>
        <w:tblInd w:w="0" w:type="dxa"/>
        <w:tblLayout w:type="fixed"/>
        <w:tblCellMar>
          <w:top w:w="0" w:type="dxa"/>
          <w:left w:w="108" w:type="dxa"/>
          <w:bottom w:w="0" w:type="dxa"/>
          <w:right w:w="108" w:type="dxa"/>
        </w:tblCellMar>
      </w:tblPr>
      <w:tblGrid>
        <w:gridCol w:w="786"/>
        <w:gridCol w:w="1156"/>
        <w:gridCol w:w="771"/>
        <w:gridCol w:w="1349"/>
        <w:gridCol w:w="1157"/>
        <w:gridCol w:w="964"/>
        <w:gridCol w:w="1348"/>
        <w:gridCol w:w="1157"/>
      </w:tblGrid>
      <w:tr>
        <w:tblPrEx>
          <w:tblCellMar>
            <w:top w:w="0" w:type="dxa"/>
            <w:left w:w="108" w:type="dxa"/>
            <w:bottom w:w="0" w:type="dxa"/>
            <w:right w:w="108" w:type="dxa"/>
          </w:tblCellMar>
        </w:tblPrEx>
        <w:trPr>
          <w:trHeight w:val="568"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序号</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姓名</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性别</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出生年月</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学历</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学位</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所学专业</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 w:val="0"/>
                <w:bCs/>
                <w:sz w:val="24"/>
              </w:rPr>
            </w:pPr>
            <w:r>
              <w:rPr>
                <w:rFonts w:hint="eastAsia" w:ascii="黑体" w:hAnsi="黑体" w:eastAsia="黑体" w:cs="宋体"/>
                <w:b w:val="0"/>
                <w:bCs/>
                <w:sz w:val="24"/>
              </w:rPr>
              <w:t>现职称</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行怀勇</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男</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1974.1</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经济学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副教授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2</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李视友</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男</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1967.2</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农业经济</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副教授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3</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高露华</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男</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1967.11</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经济管理</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副教授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4</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庞英</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女</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1963.1</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博研生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农业经济</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教授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5</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刘学忠</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男</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1966.12</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农业经济</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教授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6</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刘丽</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女</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1979.6</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7</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张爱华</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女</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1978.11</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8</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朱海燕</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女</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1977.1</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9</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朱新颜</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女</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1979.6</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567" w:hRule="exact"/>
        </w:trPr>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10</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王晓蓉</w:t>
            </w:r>
          </w:p>
        </w:tc>
        <w:tc>
          <w:tcPr>
            <w:tcW w:w="7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女</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1978.5</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金融学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680" w:hRule="exac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11</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任肖嫦</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女</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1981.5</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硕研生</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宋体"/>
                <w:szCs w:val="21"/>
              </w:rPr>
            </w:pPr>
            <w:r>
              <w:rPr>
                <w:rFonts w:hint="eastAsia" w:cs="宋体"/>
                <w:szCs w:val="21"/>
              </w:rPr>
              <w:t>讲师</w:t>
            </w:r>
          </w:p>
        </w:tc>
      </w:tr>
    </w:tbl>
    <w:p>
      <w:pPr>
        <w:spacing w:line="400" w:lineRule="exact"/>
        <w:ind w:firstLine="482" w:firstLineChars="200"/>
        <w:rPr>
          <w:rFonts w:cs="宋体"/>
          <w:b/>
          <w:bCs/>
          <w:kern w:val="0"/>
          <w:sz w:val="24"/>
        </w:rPr>
      </w:pPr>
    </w:p>
    <w:p>
      <w:pPr>
        <w:spacing w:line="400" w:lineRule="exact"/>
        <w:ind w:firstLine="482" w:firstLineChars="200"/>
        <w:rPr>
          <w:rFonts w:cs="宋体"/>
          <w:b/>
          <w:bCs/>
          <w:kern w:val="0"/>
          <w:sz w:val="24"/>
        </w:rPr>
      </w:pPr>
    </w:p>
    <w:p>
      <w:pPr>
        <w:spacing w:line="400" w:lineRule="exact"/>
        <w:ind w:firstLine="482" w:firstLineChars="200"/>
        <w:rPr>
          <w:rFonts w:cs="宋体"/>
          <w:b/>
          <w:bCs/>
          <w:kern w:val="0"/>
          <w:sz w:val="24"/>
        </w:rPr>
      </w:pPr>
    </w:p>
    <w:p>
      <w:pPr>
        <w:spacing w:line="400" w:lineRule="exact"/>
        <w:ind w:firstLine="482" w:firstLineChars="200"/>
        <w:rPr>
          <w:rFonts w:cs="宋体"/>
          <w:b/>
          <w:bCs/>
          <w:kern w:val="0"/>
          <w:sz w:val="24"/>
        </w:rPr>
      </w:pPr>
    </w:p>
    <w:p>
      <w:pPr>
        <w:spacing w:before="240" w:after="240" w:line="400" w:lineRule="exact"/>
        <w:ind w:firstLine="420" w:firstLineChars="200"/>
        <w:jc w:val="center"/>
        <w:rPr>
          <w:rFonts w:cs="宋体"/>
          <w:kern w:val="0"/>
          <w:szCs w:val="21"/>
        </w:rPr>
      </w:pPr>
      <w:r>
        <w:rPr>
          <w:rFonts w:hint="eastAsia" w:cs="宋体"/>
          <w:kern w:val="0"/>
          <w:szCs w:val="21"/>
        </w:rPr>
        <w:t>表4  师资结构一览表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519"/>
        <w:gridCol w:w="135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60" w:type="dxa"/>
            <w:vAlign w:val="center"/>
          </w:tcPr>
          <w:p>
            <w:pPr>
              <w:jc w:val="center"/>
              <w:rPr>
                <w:rFonts w:ascii="黑体" w:hAnsi="黑体" w:eastAsia="黑体" w:cs="宋体"/>
                <w:b w:val="0"/>
                <w:bCs/>
                <w:kern w:val="0"/>
                <w:sz w:val="24"/>
              </w:rPr>
            </w:pPr>
            <w:r>
              <w:rPr>
                <w:rFonts w:hint="eastAsia" w:ascii="黑体" w:hAnsi="黑体" w:eastAsia="黑体" w:cs="宋体"/>
                <w:b w:val="0"/>
                <w:bCs/>
                <w:kern w:val="0"/>
                <w:sz w:val="24"/>
              </w:rPr>
              <w:t>项目</w:t>
            </w:r>
          </w:p>
        </w:tc>
        <w:tc>
          <w:tcPr>
            <w:tcW w:w="2519" w:type="dxa"/>
            <w:vAlign w:val="center"/>
          </w:tcPr>
          <w:p>
            <w:pPr>
              <w:jc w:val="center"/>
              <w:rPr>
                <w:rFonts w:ascii="黑体" w:hAnsi="黑体" w:eastAsia="黑体" w:cs="宋体"/>
                <w:b w:val="0"/>
                <w:bCs/>
                <w:kern w:val="0"/>
                <w:sz w:val="24"/>
              </w:rPr>
            </w:pPr>
            <w:r>
              <w:rPr>
                <w:rFonts w:hint="eastAsia" w:ascii="黑体" w:hAnsi="黑体" w:eastAsia="黑体" w:cs="宋体"/>
                <w:b w:val="0"/>
                <w:bCs/>
                <w:kern w:val="0"/>
                <w:sz w:val="24"/>
              </w:rPr>
              <w:t>职称</w:t>
            </w:r>
          </w:p>
        </w:tc>
        <w:tc>
          <w:tcPr>
            <w:tcW w:w="1355" w:type="dxa"/>
            <w:vAlign w:val="center"/>
          </w:tcPr>
          <w:p>
            <w:pPr>
              <w:jc w:val="center"/>
              <w:rPr>
                <w:rFonts w:ascii="黑体" w:hAnsi="黑体" w:eastAsia="黑体" w:cs="宋体"/>
                <w:b w:val="0"/>
                <w:bCs/>
                <w:kern w:val="0"/>
                <w:sz w:val="24"/>
              </w:rPr>
            </w:pPr>
            <w:r>
              <w:rPr>
                <w:rFonts w:hint="eastAsia" w:ascii="黑体" w:hAnsi="黑体" w:eastAsia="黑体" w:cs="宋体"/>
                <w:b w:val="0"/>
                <w:bCs/>
                <w:kern w:val="0"/>
                <w:sz w:val="24"/>
              </w:rPr>
              <w:t>数量</w:t>
            </w:r>
          </w:p>
        </w:tc>
        <w:tc>
          <w:tcPr>
            <w:tcW w:w="1355" w:type="dxa"/>
            <w:vAlign w:val="center"/>
          </w:tcPr>
          <w:p>
            <w:pPr>
              <w:jc w:val="center"/>
              <w:rPr>
                <w:rFonts w:ascii="黑体" w:hAnsi="黑体" w:eastAsia="黑体" w:cs="宋体"/>
                <w:b w:val="0"/>
                <w:bCs/>
                <w:kern w:val="0"/>
                <w:sz w:val="24"/>
              </w:rPr>
            </w:pPr>
            <w:r>
              <w:rPr>
                <w:rFonts w:hint="eastAsia" w:ascii="黑体" w:hAnsi="黑体" w:eastAsia="黑体" w:cs="宋体"/>
                <w:b w:val="0"/>
                <w:bCs/>
                <w:kern w:val="0"/>
                <w:sz w:val="24"/>
              </w:rPr>
              <w:t>比例</w:t>
            </w:r>
            <w:r>
              <w:rPr>
                <w:rFonts w:ascii="黑体" w:hAnsi="黑体" w:eastAsia="黑体" w:cs="宋体"/>
                <w:b w:val="0"/>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restart"/>
            <w:vAlign w:val="center"/>
          </w:tcPr>
          <w:p>
            <w:pPr>
              <w:jc w:val="center"/>
              <w:rPr>
                <w:rFonts w:cs="宋体"/>
                <w:kern w:val="0"/>
                <w:szCs w:val="21"/>
              </w:rPr>
            </w:pPr>
            <w:r>
              <w:rPr>
                <w:rFonts w:hint="eastAsia" w:cs="宋体"/>
                <w:kern w:val="0"/>
                <w:szCs w:val="21"/>
              </w:rPr>
              <w:t>职称结构</w:t>
            </w:r>
          </w:p>
        </w:tc>
        <w:tc>
          <w:tcPr>
            <w:tcW w:w="2519" w:type="dxa"/>
            <w:vAlign w:val="center"/>
          </w:tcPr>
          <w:p>
            <w:pPr>
              <w:jc w:val="center"/>
              <w:rPr>
                <w:rFonts w:cs="宋体"/>
                <w:kern w:val="0"/>
                <w:szCs w:val="21"/>
              </w:rPr>
            </w:pPr>
            <w:r>
              <w:rPr>
                <w:rFonts w:hint="eastAsia" w:cs="宋体"/>
                <w:kern w:val="0"/>
                <w:szCs w:val="21"/>
              </w:rPr>
              <w:t>教授</w:t>
            </w:r>
          </w:p>
        </w:tc>
        <w:tc>
          <w:tcPr>
            <w:tcW w:w="1355" w:type="dxa"/>
            <w:vAlign w:val="center"/>
          </w:tcPr>
          <w:p>
            <w:pPr>
              <w:jc w:val="center"/>
              <w:rPr>
                <w:rFonts w:cs="宋体"/>
                <w:kern w:val="0"/>
                <w:szCs w:val="21"/>
              </w:rPr>
            </w:pPr>
            <w:r>
              <w:rPr>
                <w:rFonts w:hint="eastAsia" w:cs="宋体"/>
                <w:kern w:val="0"/>
                <w:szCs w:val="21"/>
              </w:rPr>
              <w:t>2</w:t>
            </w:r>
          </w:p>
        </w:tc>
        <w:tc>
          <w:tcPr>
            <w:tcW w:w="1355" w:type="dxa"/>
            <w:vAlign w:val="center"/>
          </w:tcPr>
          <w:p>
            <w:pPr>
              <w:jc w:val="center"/>
              <w:rPr>
                <w:rFonts w:cs="宋体"/>
                <w:kern w:val="0"/>
                <w:szCs w:val="21"/>
              </w:rPr>
            </w:pPr>
            <w:r>
              <w:rPr>
                <w:rFonts w:hint="eastAsia" w:cs="宋体"/>
                <w:kern w:val="0"/>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jc w:val="center"/>
              <w:rPr>
                <w:rFonts w:cs="宋体"/>
                <w:kern w:val="0"/>
                <w:szCs w:val="21"/>
              </w:rPr>
            </w:pPr>
            <w:r>
              <w:rPr>
                <w:rFonts w:hint="eastAsia" w:cs="宋体"/>
                <w:kern w:val="0"/>
                <w:szCs w:val="21"/>
              </w:rPr>
              <w:t>副教授</w:t>
            </w:r>
          </w:p>
        </w:tc>
        <w:tc>
          <w:tcPr>
            <w:tcW w:w="1355" w:type="dxa"/>
            <w:vAlign w:val="center"/>
          </w:tcPr>
          <w:p>
            <w:pPr>
              <w:jc w:val="center"/>
              <w:rPr>
                <w:rFonts w:cs="宋体"/>
                <w:kern w:val="0"/>
                <w:szCs w:val="21"/>
              </w:rPr>
            </w:pPr>
            <w:r>
              <w:rPr>
                <w:rFonts w:hint="eastAsia" w:cs="宋体"/>
                <w:kern w:val="0"/>
                <w:szCs w:val="21"/>
              </w:rPr>
              <w:t>4</w:t>
            </w:r>
          </w:p>
        </w:tc>
        <w:tc>
          <w:tcPr>
            <w:tcW w:w="1355" w:type="dxa"/>
            <w:vAlign w:val="center"/>
          </w:tcPr>
          <w:p>
            <w:pPr>
              <w:jc w:val="center"/>
              <w:rPr>
                <w:rFonts w:cs="宋体"/>
                <w:kern w:val="0"/>
                <w:szCs w:val="21"/>
              </w:rPr>
            </w:pPr>
            <w:r>
              <w:rPr>
                <w:rFonts w:hint="eastAsia" w:cs="宋体"/>
                <w:kern w:val="0"/>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jc w:val="center"/>
              <w:rPr>
                <w:rFonts w:cs="宋体"/>
                <w:kern w:val="0"/>
                <w:szCs w:val="21"/>
              </w:rPr>
            </w:pPr>
            <w:r>
              <w:rPr>
                <w:rFonts w:hint="eastAsia" w:cs="宋体"/>
                <w:kern w:val="0"/>
                <w:szCs w:val="21"/>
              </w:rPr>
              <w:t>讲师</w:t>
            </w:r>
          </w:p>
        </w:tc>
        <w:tc>
          <w:tcPr>
            <w:tcW w:w="1355" w:type="dxa"/>
            <w:vAlign w:val="center"/>
          </w:tcPr>
          <w:p>
            <w:pPr>
              <w:jc w:val="center"/>
              <w:rPr>
                <w:rFonts w:cs="宋体"/>
                <w:kern w:val="0"/>
                <w:szCs w:val="21"/>
              </w:rPr>
            </w:pPr>
            <w:r>
              <w:rPr>
                <w:rFonts w:hint="eastAsia" w:cs="宋体"/>
                <w:kern w:val="0"/>
                <w:szCs w:val="21"/>
              </w:rPr>
              <w:t>10</w:t>
            </w:r>
          </w:p>
        </w:tc>
        <w:tc>
          <w:tcPr>
            <w:tcW w:w="1355" w:type="dxa"/>
            <w:vAlign w:val="center"/>
          </w:tcPr>
          <w:p>
            <w:pPr>
              <w:jc w:val="center"/>
              <w:rPr>
                <w:rFonts w:cs="宋体"/>
                <w:kern w:val="0"/>
                <w:szCs w:val="21"/>
              </w:rPr>
            </w:pPr>
            <w:r>
              <w:rPr>
                <w:rFonts w:hint="eastAsia" w:cs="宋体"/>
                <w:kern w:val="0"/>
                <w:szCs w:val="21"/>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restart"/>
            <w:vAlign w:val="center"/>
          </w:tcPr>
          <w:p>
            <w:pPr>
              <w:jc w:val="center"/>
              <w:rPr>
                <w:rFonts w:cs="宋体"/>
                <w:kern w:val="0"/>
                <w:szCs w:val="21"/>
              </w:rPr>
            </w:pPr>
            <w:r>
              <w:rPr>
                <w:rFonts w:hint="eastAsia" w:cs="宋体"/>
                <w:kern w:val="0"/>
                <w:szCs w:val="21"/>
              </w:rPr>
              <w:t>学历</w:t>
            </w:r>
          </w:p>
          <w:p>
            <w:pPr>
              <w:jc w:val="center"/>
              <w:rPr>
                <w:rFonts w:cs="宋体"/>
                <w:kern w:val="0"/>
                <w:szCs w:val="21"/>
              </w:rPr>
            </w:pPr>
            <w:r>
              <w:rPr>
                <w:rFonts w:hint="eastAsia" w:cs="宋体"/>
                <w:kern w:val="0"/>
                <w:szCs w:val="21"/>
              </w:rPr>
              <w:t>结构</w:t>
            </w:r>
          </w:p>
        </w:tc>
        <w:tc>
          <w:tcPr>
            <w:tcW w:w="2519" w:type="dxa"/>
            <w:vAlign w:val="center"/>
          </w:tcPr>
          <w:p>
            <w:pPr>
              <w:jc w:val="center"/>
              <w:rPr>
                <w:rFonts w:cs="宋体"/>
                <w:kern w:val="0"/>
                <w:szCs w:val="21"/>
              </w:rPr>
            </w:pPr>
            <w:r>
              <w:rPr>
                <w:rFonts w:hint="eastAsia" w:cs="宋体"/>
                <w:kern w:val="0"/>
                <w:szCs w:val="21"/>
              </w:rPr>
              <w:t>博士</w:t>
            </w:r>
          </w:p>
        </w:tc>
        <w:tc>
          <w:tcPr>
            <w:tcW w:w="1355" w:type="dxa"/>
            <w:vAlign w:val="center"/>
          </w:tcPr>
          <w:p>
            <w:pPr>
              <w:jc w:val="center"/>
              <w:rPr>
                <w:rFonts w:cs="宋体"/>
                <w:kern w:val="0"/>
                <w:szCs w:val="21"/>
              </w:rPr>
            </w:pPr>
            <w:r>
              <w:rPr>
                <w:rFonts w:hint="eastAsia" w:cs="宋体"/>
                <w:kern w:val="0"/>
                <w:szCs w:val="21"/>
              </w:rPr>
              <w:t>6</w:t>
            </w:r>
          </w:p>
        </w:tc>
        <w:tc>
          <w:tcPr>
            <w:tcW w:w="1355" w:type="dxa"/>
            <w:vAlign w:val="center"/>
          </w:tcPr>
          <w:p>
            <w:pPr>
              <w:jc w:val="center"/>
              <w:rPr>
                <w:rFonts w:cs="宋体"/>
                <w:kern w:val="0"/>
                <w:szCs w:val="21"/>
              </w:rPr>
            </w:pPr>
            <w:r>
              <w:rPr>
                <w:rFonts w:hint="eastAsia" w:cs="宋体"/>
                <w:kern w:val="0"/>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jc w:val="center"/>
              <w:rPr>
                <w:rFonts w:cs="宋体"/>
                <w:kern w:val="0"/>
                <w:szCs w:val="21"/>
              </w:rPr>
            </w:pPr>
            <w:r>
              <w:rPr>
                <w:rFonts w:hint="eastAsia" w:cs="宋体"/>
                <w:kern w:val="0"/>
                <w:szCs w:val="21"/>
              </w:rPr>
              <w:t>硕士</w:t>
            </w:r>
          </w:p>
        </w:tc>
        <w:tc>
          <w:tcPr>
            <w:tcW w:w="1355" w:type="dxa"/>
            <w:vAlign w:val="center"/>
          </w:tcPr>
          <w:p>
            <w:pPr>
              <w:jc w:val="center"/>
              <w:rPr>
                <w:rFonts w:cs="宋体"/>
                <w:kern w:val="0"/>
                <w:szCs w:val="21"/>
              </w:rPr>
            </w:pPr>
            <w:r>
              <w:rPr>
                <w:rFonts w:hint="eastAsia" w:cs="宋体"/>
                <w:kern w:val="0"/>
                <w:szCs w:val="21"/>
              </w:rPr>
              <w:t>10</w:t>
            </w:r>
          </w:p>
        </w:tc>
        <w:tc>
          <w:tcPr>
            <w:tcW w:w="1355" w:type="dxa"/>
            <w:vAlign w:val="center"/>
          </w:tcPr>
          <w:p>
            <w:pPr>
              <w:jc w:val="center"/>
              <w:rPr>
                <w:rFonts w:cs="宋体"/>
                <w:kern w:val="0"/>
                <w:szCs w:val="21"/>
              </w:rPr>
            </w:pPr>
            <w:r>
              <w:rPr>
                <w:rFonts w:hint="eastAsia" w:cs="宋体"/>
                <w:kern w:val="0"/>
                <w:szCs w:val="21"/>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restart"/>
            <w:vAlign w:val="center"/>
          </w:tcPr>
          <w:p>
            <w:pPr>
              <w:jc w:val="center"/>
              <w:rPr>
                <w:rFonts w:cs="宋体"/>
                <w:kern w:val="0"/>
                <w:szCs w:val="21"/>
              </w:rPr>
            </w:pPr>
            <w:r>
              <w:rPr>
                <w:rFonts w:hint="eastAsia" w:cs="宋体"/>
                <w:kern w:val="0"/>
                <w:szCs w:val="21"/>
              </w:rPr>
              <w:t>年龄</w:t>
            </w:r>
          </w:p>
          <w:p>
            <w:pPr>
              <w:jc w:val="center"/>
              <w:rPr>
                <w:rFonts w:cs="宋体"/>
                <w:kern w:val="0"/>
                <w:szCs w:val="21"/>
              </w:rPr>
            </w:pPr>
            <w:r>
              <w:rPr>
                <w:rFonts w:hint="eastAsia" w:cs="宋体"/>
                <w:kern w:val="0"/>
                <w:szCs w:val="21"/>
              </w:rPr>
              <w:t>结构</w:t>
            </w:r>
          </w:p>
        </w:tc>
        <w:tc>
          <w:tcPr>
            <w:tcW w:w="2519" w:type="dxa"/>
            <w:vAlign w:val="center"/>
          </w:tcPr>
          <w:p>
            <w:pPr>
              <w:jc w:val="center"/>
              <w:rPr>
                <w:rFonts w:cs="宋体"/>
                <w:kern w:val="0"/>
                <w:szCs w:val="21"/>
              </w:rPr>
            </w:pPr>
            <w:r>
              <w:rPr>
                <w:rFonts w:hint="eastAsia" w:cs="宋体"/>
                <w:kern w:val="0"/>
                <w:szCs w:val="21"/>
              </w:rPr>
              <w:t>50岁以上</w:t>
            </w:r>
          </w:p>
        </w:tc>
        <w:tc>
          <w:tcPr>
            <w:tcW w:w="1355" w:type="dxa"/>
            <w:vAlign w:val="center"/>
          </w:tcPr>
          <w:p>
            <w:pPr>
              <w:jc w:val="center"/>
              <w:rPr>
                <w:rFonts w:cs="宋体"/>
                <w:kern w:val="0"/>
                <w:szCs w:val="21"/>
              </w:rPr>
            </w:pPr>
            <w:r>
              <w:rPr>
                <w:rFonts w:hint="eastAsia" w:cs="宋体"/>
                <w:kern w:val="0"/>
                <w:szCs w:val="21"/>
              </w:rPr>
              <w:t>2</w:t>
            </w:r>
          </w:p>
        </w:tc>
        <w:tc>
          <w:tcPr>
            <w:tcW w:w="1355" w:type="dxa"/>
            <w:vAlign w:val="center"/>
          </w:tcPr>
          <w:p>
            <w:pPr>
              <w:jc w:val="center"/>
              <w:rPr>
                <w:rFonts w:cs="宋体"/>
                <w:kern w:val="0"/>
                <w:szCs w:val="21"/>
              </w:rPr>
            </w:pPr>
            <w:r>
              <w:rPr>
                <w:rFonts w:hint="eastAsia" w:cs="宋体"/>
                <w:kern w:val="0"/>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jc w:val="center"/>
              <w:rPr>
                <w:rFonts w:cs="宋体"/>
                <w:kern w:val="0"/>
                <w:szCs w:val="21"/>
              </w:rPr>
            </w:pPr>
            <w:r>
              <w:rPr>
                <w:rFonts w:hint="eastAsia" w:cs="宋体"/>
                <w:kern w:val="0"/>
                <w:szCs w:val="21"/>
              </w:rPr>
              <w:t>35——50</w:t>
            </w:r>
          </w:p>
        </w:tc>
        <w:tc>
          <w:tcPr>
            <w:tcW w:w="1355" w:type="dxa"/>
            <w:vAlign w:val="center"/>
          </w:tcPr>
          <w:p>
            <w:pPr>
              <w:jc w:val="center"/>
              <w:rPr>
                <w:rFonts w:cs="宋体"/>
                <w:kern w:val="0"/>
                <w:szCs w:val="21"/>
              </w:rPr>
            </w:pPr>
            <w:r>
              <w:rPr>
                <w:rFonts w:hint="eastAsia" w:cs="宋体"/>
                <w:kern w:val="0"/>
                <w:szCs w:val="21"/>
              </w:rPr>
              <w:t>12</w:t>
            </w:r>
          </w:p>
        </w:tc>
        <w:tc>
          <w:tcPr>
            <w:tcW w:w="1355" w:type="dxa"/>
            <w:vAlign w:val="center"/>
          </w:tcPr>
          <w:p>
            <w:pPr>
              <w:jc w:val="center"/>
              <w:rPr>
                <w:rFonts w:cs="宋体"/>
                <w:kern w:val="0"/>
                <w:szCs w:val="21"/>
              </w:rPr>
            </w:pPr>
            <w:r>
              <w:rPr>
                <w:rFonts w:hint="eastAsia" w:cs="宋体"/>
                <w:kern w:val="0"/>
                <w:szCs w:val="21"/>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jc w:val="center"/>
              <w:rPr>
                <w:rFonts w:cs="宋体"/>
                <w:kern w:val="0"/>
                <w:szCs w:val="21"/>
              </w:rPr>
            </w:pPr>
            <w:r>
              <w:rPr>
                <w:rFonts w:hint="eastAsia" w:cs="宋体"/>
                <w:kern w:val="0"/>
                <w:szCs w:val="21"/>
              </w:rPr>
              <w:t>35以下</w:t>
            </w:r>
          </w:p>
        </w:tc>
        <w:tc>
          <w:tcPr>
            <w:tcW w:w="1355" w:type="dxa"/>
            <w:vAlign w:val="center"/>
          </w:tcPr>
          <w:p>
            <w:pPr>
              <w:jc w:val="center"/>
              <w:rPr>
                <w:rFonts w:cs="宋体"/>
                <w:kern w:val="0"/>
                <w:szCs w:val="21"/>
              </w:rPr>
            </w:pPr>
            <w:r>
              <w:rPr>
                <w:rFonts w:hint="eastAsia" w:cs="宋体"/>
                <w:kern w:val="0"/>
                <w:szCs w:val="21"/>
              </w:rPr>
              <w:t>2</w:t>
            </w:r>
          </w:p>
        </w:tc>
        <w:tc>
          <w:tcPr>
            <w:tcW w:w="1355" w:type="dxa"/>
            <w:vAlign w:val="center"/>
          </w:tcPr>
          <w:p>
            <w:pPr>
              <w:jc w:val="center"/>
              <w:rPr>
                <w:rFonts w:cs="宋体"/>
                <w:kern w:val="0"/>
                <w:szCs w:val="21"/>
              </w:rPr>
            </w:pPr>
            <w:r>
              <w:rPr>
                <w:rFonts w:hint="eastAsia" w:cs="宋体"/>
                <w:kern w:val="0"/>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restart"/>
            <w:vAlign w:val="center"/>
          </w:tcPr>
          <w:p>
            <w:pPr>
              <w:jc w:val="center"/>
              <w:rPr>
                <w:rFonts w:cs="宋体"/>
                <w:kern w:val="0"/>
                <w:szCs w:val="21"/>
              </w:rPr>
            </w:pPr>
            <w:r>
              <w:rPr>
                <w:rFonts w:hint="eastAsia" w:cs="宋体"/>
                <w:kern w:val="0"/>
                <w:szCs w:val="21"/>
              </w:rPr>
              <w:t>学科</w:t>
            </w:r>
          </w:p>
          <w:p>
            <w:pPr>
              <w:jc w:val="center"/>
              <w:rPr>
                <w:rFonts w:cs="宋体"/>
                <w:kern w:val="0"/>
                <w:szCs w:val="21"/>
              </w:rPr>
            </w:pPr>
            <w:r>
              <w:rPr>
                <w:rFonts w:hint="eastAsia" w:cs="宋体"/>
                <w:kern w:val="0"/>
                <w:szCs w:val="21"/>
              </w:rPr>
              <w:t>结构</w:t>
            </w:r>
          </w:p>
        </w:tc>
        <w:tc>
          <w:tcPr>
            <w:tcW w:w="2519" w:type="dxa"/>
            <w:vAlign w:val="center"/>
          </w:tcPr>
          <w:p>
            <w:pPr>
              <w:jc w:val="center"/>
              <w:rPr>
                <w:rFonts w:cs="宋体"/>
                <w:kern w:val="0"/>
                <w:szCs w:val="21"/>
              </w:rPr>
            </w:pPr>
            <w:r>
              <w:rPr>
                <w:rFonts w:hint="eastAsia" w:cs="宋体"/>
                <w:kern w:val="0"/>
                <w:szCs w:val="21"/>
              </w:rPr>
              <w:t>国际贸易</w:t>
            </w:r>
          </w:p>
        </w:tc>
        <w:tc>
          <w:tcPr>
            <w:tcW w:w="1355" w:type="dxa"/>
            <w:vAlign w:val="center"/>
          </w:tcPr>
          <w:p>
            <w:pPr>
              <w:jc w:val="center"/>
              <w:rPr>
                <w:rFonts w:cs="宋体"/>
                <w:kern w:val="0"/>
                <w:szCs w:val="21"/>
              </w:rPr>
            </w:pPr>
            <w:r>
              <w:rPr>
                <w:rFonts w:hint="eastAsia" w:cs="宋体"/>
                <w:kern w:val="0"/>
                <w:szCs w:val="21"/>
              </w:rPr>
              <w:t>6</w:t>
            </w:r>
          </w:p>
        </w:tc>
        <w:tc>
          <w:tcPr>
            <w:tcW w:w="1355" w:type="dxa"/>
            <w:vAlign w:val="center"/>
          </w:tcPr>
          <w:p>
            <w:pPr>
              <w:jc w:val="center"/>
              <w:rPr>
                <w:rFonts w:cs="宋体"/>
                <w:kern w:val="0"/>
                <w:szCs w:val="21"/>
              </w:rPr>
            </w:pPr>
            <w:r>
              <w:rPr>
                <w:rFonts w:hint="eastAsia" w:cs="宋体"/>
                <w:kern w:val="0"/>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jc w:val="center"/>
              <w:rPr>
                <w:rFonts w:cs="宋体"/>
                <w:kern w:val="0"/>
                <w:szCs w:val="21"/>
              </w:rPr>
            </w:pPr>
            <w:r>
              <w:rPr>
                <w:rFonts w:hint="eastAsia" w:cs="宋体"/>
                <w:kern w:val="0"/>
                <w:szCs w:val="21"/>
              </w:rPr>
              <w:t>农业经济</w:t>
            </w:r>
          </w:p>
        </w:tc>
        <w:tc>
          <w:tcPr>
            <w:tcW w:w="1355" w:type="dxa"/>
            <w:vAlign w:val="center"/>
          </w:tcPr>
          <w:p>
            <w:pPr>
              <w:jc w:val="center"/>
              <w:rPr>
                <w:rFonts w:cs="宋体"/>
                <w:kern w:val="0"/>
                <w:szCs w:val="21"/>
              </w:rPr>
            </w:pPr>
            <w:r>
              <w:rPr>
                <w:rFonts w:hint="eastAsia" w:cs="宋体"/>
                <w:kern w:val="0"/>
                <w:szCs w:val="21"/>
              </w:rPr>
              <w:t>3</w:t>
            </w:r>
          </w:p>
        </w:tc>
        <w:tc>
          <w:tcPr>
            <w:tcW w:w="1355" w:type="dxa"/>
            <w:vAlign w:val="center"/>
          </w:tcPr>
          <w:p>
            <w:pPr>
              <w:jc w:val="center"/>
              <w:rPr>
                <w:rFonts w:cs="宋体"/>
                <w:kern w:val="0"/>
                <w:szCs w:val="21"/>
              </w:rPr>
            </w:pPr>
            <w:r>
              <w:rPr>
                <w:rFonts w:hint="eastAsia" w:cs="宋体"/>
                <w:kern w:val="0"/>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tabs>
                <w:tab w:val="left" w:pos="1215"/>
              </w:tabs>
              <w:jc w:val="center"/>
              <w:rPr>
                <w:rFonts w:cs="宋体"/>
                <w:kern w:val="0"/>
                <w:szCs w:val="21"/>
              </w:rPr>
            </w:pPr>
            <w:r>
              <w:rPr>
                <w:rFonts w:hint="eastAsia" w:cs="宋体"/>
                <w:kern w:val="0"/>
                <w:szCs w:val="21"/>
              </w:rPr>
              <w:t>经济学</w:t>
            </w:r>
          </w:p>
        </w:tc>
        <w:tc>
          <w:tcPr>
            <w:tcW w:w="1355" w:type="dxa"/>
            <w:vAlign w:val="center"/>
          </w:tcPr>
          <w:p>
            <w:pPr>
              <w:jc w:val="center"/>
              <w:rPr>
                <w:rFonts w:cs="宋体"/>
                <w:kern w:val="0"/>
                <w:szCs w:val="21"/>
              </w:rPr>
            </w:pPr>
            <w:r>
              <w:rPr>
                <w:rFonts w:hint="eastAsia" w:cs="宋体"/>
                <w:kern w:val="0"/>
                <w:szCs w:val="21"/>
              </w:rPr>
              <w:t>5</w:t>
            </w:r>
          </w:p>
        </w:tc>
        <w:tc>
          <w:tcPr>
            <w:tcW w:w="1355" w:type="dxa"/>
            <w:vAlign w:val="center"/>
          </w:tcPr>
          <w:p>
            <w:pPr>
              <w:jc w:val="center"/>
              <w:rPr>
                <w:rFonts w:cs="宋体"/>
                <w:kern w:val="0"/>
                <w:szCs w:val="21"/>
              </w:rPr>
            </w:pPr>
            <w:r>
              <w:rPr>
                <w:rFonts w:hint="eastAsia" w:cs="宋体"/>
                <w:kern w:val="0"/>
                <w:szCs w:val="21"/>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0" w:type="dxa"/>
            <w:vMerge w:val="continue"/>
            <w:vAlign w:val="center"/>
          </w:tcPr>
          <w:p>
            <w:pPr>
              <w:jc w:val="center"/>
              <w:rPr>
                <w:rFonts w:cs="宋体"/>
                <w:kern w:val="0"/>
                <w:szCs w:val="21"/>
              </w:rPr>
            </w:pPr>
          </w:p>
        </w:tc>
        <w:tc>
          <w:tcPr>
            <w:tcW w:w="2519" w:type="dxa"/>
            <w:vAlign w:val="center"/>
          </w:tcPr>
          <w:p>
            <w:pPr>
              <w:tabs>
                <w:tab w:val="left" w:pos="1215"/>
              </w:tabs>
              <w:jc w:val="center"/>
              <w:rPr>
                <w:rFonts w:cs="宋体"/>
                <w:kern w:val="0"/>
                <w:szCs w:val="21"/>
              </w:rPr>
            </w:pPr>
            <w:r>
              <w:rPr>
                <w:rFonts w:hint="eastAsia" w:cs="宋体"/>
                <w:kern w:val="0"/>
                <w:szCs w:val="21"/>
              </w:rPr>
              <w:t>其他</w:t>
            </w:r>
          </w:p>
        </w:tc>
        <w:tc>
          <w:tcPr>
            <w:tcW w:w="1355" w:type="dxa"/>
            <w:vAlign w:val="center"/>
          </w:tcPr>
          <w:p>
            <w:pPr>
              <w:jc w:val="center"/>
              <w:rPr>
                <w:rFonts w:cs="宋体"/>
                <w:kern w:val="0"/>
                <w:szCs w:val="21"/>
              </w:rPr>
            </w:pPr>
            <w:r>
              <w:rPr>
                <w:rFonts w:hint="eastAsia" w:cs="宋体"/>
                <w:kern w:val="0"/>
                <w:szCs w:val="21"/>
              </w:rPr>
              <w:t>2</w:t>
            </w:r>
          </w:p>
        </w:tc>
        <w:tc>
          <w:tcPr>
            <w:tcW w:w="1355" w:type="dxa"/>
            <w:vAlign w:val="center"/>
          </w:tcPr>
          <w:p>
            <w:pPr>
              <w:jc w:val="center"/>
              <w:rPr>
                <w:rFonts w:cs="宋体"/>
                <w:kern w:val="0"/>
                <w:szCs w:val="21"/>
              </w:rPr>
            </w:pPr>
            <w:r>
              <w:rPr>
                <w:rFonts w:hint="eastAsia" w:cs="宋体"/>
                <w:kern w:val="0"/>
                <w:szCs w:val="21"/>
              </w:rPr>
              <w:t>12.5</w:t>
            </w:r>
          </w:p>
        </w:tc>
      </w:tr>
    </w:tbl>
    <w:p>
      <w:pPr>
        <w:pStyle w:val="4"/>
        <w:rPr>
          <w:lang w:val="zh-TW"/>
        </w:rPr>
      </w:pPr>
      <w:bookmarkStart w:id="41" w:name="_Toc16996"/>
      <w:r>
        <w:rPr>
          <w:rFonts w:hint="eastAsia"/>
          <w:lang w:val="zh-TW"/>
        </w:rPr>
        <w:t>（四）实习基地建设</w:t>
      </w:r>
      <w:bookmarkEnd w:id="41"/>
    </w:p>
    <w:p>
      <w:pPr>
        <w:spacing w:line="400" w:lineRule="exact"/>
        <w:ind w:firstLine="480" w:firstLineChars="200"/>
        <w:rPr>
          <w:rFonts w:cs="宋体"/>
          <w:sz w:val="24"/>
        </w:rPr>
      </w:pPr>
      <w:r>
        <w:rPr>
          <w:rFonts w:hint="eastAsia" w:cs="宋体"/>
          <w:sz w:val="24"/>
        </w:rPr>
        <w:t>国际经济与贸易专业建有龙大集团等8处教学实习基地，供学生教学实习和毕业实习用，教学实习时会聘请企业出口业务人员介绍当前出口形势以及出口业务中的经验教训。每年都有一定数量的学生在实习基地进行教学实习或毕业实习，基本满足本专业实习、实训的教学需求。</w:t>
      </w:r>
    </w:p>
    <w:p>
      <w:pPr>
        <w:spacing w:before="240" w:after="240" w:line="400" w:lineRule="exact"/>
        <w:jc w:val="center"/>
        <w:rPr>
          <w:rFonts w:cs="宋体"/>
          <w:bCs/>
          <w:szCs w:val="21"/>
        </w:rPr>
      </w:pPr>
      <w:r>
        <w:rPr>
          <w:rFonts w:hint="eastAsia" w:cs="宋体"/>
          <w:bCs/>
          <w:szCs w:val="21"/>
        </w:rPr>
        <w:t>表5  国际经济与贸易专业校外实习基地一览表</w:t>
      </w:r>
    </w:p>
    <w:tbl>
      <w:tblPr>
        <w:tblStyle w:val="34"/>
        <w:tblW w:w="0" w:type="auto"/>
        <w:jc w:val="center"/>
        <w:tblBorders>
          <w:top w:val="none" w:color="auto" w:sz="4" w:space="0"/>
          <w:left w:val="none" w:color="auto" w:sz="0" w:space="0"/>
          <w:bottom w:val="none" w:color="auto" w:sz="4" w:space="0"/>
          <w:right w:val="none" w:color="auto" w:sz="0" w:space="0"/>
          <w:insideH w:val="none" w:color="auto" w:sz="4" w:space="0"/>
          <w:insideV w:val="none" w:color="auto" w:sz="4" w:space="0"/>
        </w:tblBorders>
        <w:tblLayout w:type="fixed"/>
        <w:tblCellMar>
          <w:top w:w="0" w:type="dxa"/>
          <w:left w:w="0" w:type="dxa"/>
          <w:bottom w:w="0" w:type="dxa"/>
          <w:right w:w="0" w:type="dxa"/>
        </w:tblCellMar>
      </w:tblPr>
      <w:tblGrid>
        <w:gridCol w:w="849"/>
        <w:gridCol w:w="4336"/>
        <w:gridCol w:w="1229"/>
        <w:gridCol w:w="1541"/>
      </w:tblGrid>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54" w:hRule="exact"/>
          <w:jc w:val="center"/>
        </w:trPr>
        <w:tc>
          <w:tcPr>
            <w:tcW w:w="849" w:type="dxa"/>
            <w:tcBorders>
              <w:top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ascii="黑体" w:hAnsi="黑体" w:eastAsia="黑体" w:cs="宋体"/>
                <w:b w:val="0"/>
                <w:sz w:val="24"/>
              </w:rPr>
            </w:pPr>
            <w:r>
              <w:rPr>
                <w:rFonts w:hint="eastAsia" w:ascii="黑体" w:hAnsi="黑体" w:eastAsia="黑体" w:cs="宋体"/>
                <w:b w:val="0"/>
                <w:kern w:val="0"/>
                <w:sz w:val="24"/>
              </w:rPr>
              <w:t>序号</w:t>
            </w:r>
          </w:p>
        </w:tc>
        <w:tc>
          <w:tcPr>
            <w:tcW w:w="433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ascii="黑体" w:hAnsi="黑体" w:eastAsia="黑体" w:cs="宋体"/>
                <w:b w:val="0"/>
                <w:sz w:val="24"/>
              </w:rPr>
            </w:pPr>
            <w:r>
              <w:rPr>
                <w:rFonts w:hint="eastAsia" w:ascii="黑体" w:hAnsi="黑体" w:eastAsia="黑体" w:cs="宋体"/>
                <w:b w:val="0"/>
                <w:kern w:val="0"/>
                <w:sz w:val="24"/>
              </w:rPr>
              <w:t>基地名称</w:t>
            </w:r>
          </w:p>
        </w:tc>
        <w:tc>
          <w:tcPr>
            <w:tcW w:w="122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ascii="黑体" w:hAnsi="黑体" w:eastAsia="黑体" w:cs="宋体"/>
                <w:b w:val="0"/>
                <w:sz w:val="24"/>
              </w:rPr>
            </w:pPr>
            <w:r>
              <w:rPr>
                <w:rFonts w:hint="eastAsia" w:ascii="黑体" w:hAnsi="黑体" w:eastAsia="黑体" w:cs="宋体"/>
                <w:b w:val="0"/>
                <w:kern w:val="0"/>
                <w:sz w:val="24"/>
              </w:rPr>
              <w:t>建立时间</w:t>
            </w:r>
          </w:p>
        </w:tc>
        <w:tc>
          <w:tcPr>
            <w:tcW w:w="1541" w:type="dxa"/>
            <w:tcBorders>
              <w:top w:val="single" w:color="auto" w:sz="4" w:space="0"/>
              <w:left w:val="nil"/>
              <w:bottom w:val="single" w:color="auto" w:sz="4" w:space="0"/>
            </w:tcBorders>
            <w:tcMar>
              <w:top w:w="15" w:type="dxa"/>
              <w:left w:w="15" w:type="dxa"/>
              <w:right w:w="15" w:type="dxa"/>
            </w:tcMar>
            <w:vAlign w:val="center"/>
          </w:tcPr>
          <w:p>
            <w:pPr>
              <w:widowControl/>
              <w:spacing w:line="400" w:lineRule="exact"/>
              <w:jc w:val="center"/>
              <w:textAlignment w:val="center"/>
              <w:rPr>
                <w:rFonts w:ascii="黑体" w:hAnsi="黑体" w:eastAsia="黑体" w:cs="宋体"/>
                <w:b w:val="0"/>
                <w:sz w:val="24"/>
              </w:rPr>
            </w:pPr>
            <w:r>
              <w:rPr>
                <w:rFonts w:hint="eastAsia" w:ascii="黑体" w:hAnsi="黑体" w:eastAsia="黑体" w:cs="宋体"/>
                <w:b w:val="0"/>
                <w:kern w:val="0"/>
                <w:sz w:val="24"/>
              </w:rPr>
              <w:t>容纳学生数量</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54" w:hRule="exac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szCs w:val="21"/>
              </w:rPr>
            </w:pPr>
            <w:r>
              <w:rPr>
                <w:rFonts w:hint="eastAsia" w:cs="宋体"/>
                <w:bCs/>
                <w:szCs w:val="21"/>
              </w:rPr>
              <w:t>1</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青岛大度谷物有限公司</w:t>
            </w:r>
          </w:p>
        </w:tc>
        <w:tc>
          <w:tcPr>
            <w:tcW w:w="122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2014年</w:t>
            </w:r>
          </w:p>
        </w:tc>
        <w:tc>
          <w:tcPr>
            <w:tcW w:w="1541" w:type="dxa"/>
            <w:tcBorders>
              <w:top w:val="nil"/>
              <w:left w:val="nil"/>
              <w:bottom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60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54" w:hRule="exac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szCs w:val="21"/>
              </w:rPr>
            </w:pPr>
            <w:r>
              <w:rPr>
                <w:rFonts w:hint="eastAsia" w:cs="宋体"/>
                <w:bCs/>
                <w:szCs w:val="21"/>
              </w:rPr>
              <w:t>2</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青岛海都集团有限公司</w:t>
            </w:r>
          </w:p>
        </w:tc>
        <w:tc>
          <w:tcPr>
            <w:tcW w:w="122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2006年</w:t>
            </w:r>
          </w:p>
        </w:tc>
        <w:tc>
          <w:tcPr>
            <w:tcW w:w="1541" w:type="dxa"/>
            <w:tcBorders>
              <w:top w:val="nil"/>
              <w:left w:val="nil"/>
              <w:bottom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200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54" w:hRule="exac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szCs w:val="21"/>
              </w:rPr>
            </w:pPr>
            <w:r>
              <w:rPr>
                <w:rFonts w:hint="eastAsia" w:cs="宋体"/>
                <w:bCs/>
                <w:szCs w:val="21"/>
              </w:rPr>
              <w:t>3</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青岛九联集团股份有限公司</w:t>
            </w:r>
          </w:p>
        </w:tc>
        <w:tc>
          <w:tcPr>
            <w:tcW w:w="122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2005年</w:t>
            </w:r>
          </w:p>
        </w:tc>
        <w:tc>
          <w:tcPr>
            <w:tcW w:w="1541" w:type="dxa"/>
            <w:tcBorders>
              <w:top w:val="nil"/>
              <w:left w:val="nil"/>
              <w:bottom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200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54" w:hRule="exac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szCs w:val="21"/>
              </w:rPr>
            </w:pPr>
            <w:r>
              <w:rPr>
                <w:rFonts w:hint="eastAsia" w:cs="宋体"/>
                <w:bCs/>
                <w:szCs w:val="21"/>
              </w:rPr>
              <w:t>4</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青岛顺丰速运有限公司</w:t>
            </w:r>
          </w:p>
        </w:tc>
        <w:tc>
          <w:tcPr>
            <w:tcW w:w="122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2014年</w:t>
            </w:r>
          </w:p>
        </w:tc>
        <w:tc>
          <w:tcPr>
            <w:tcW w:w="1541" w:type="dxa"/>
            <w:tcBorders>
              <w:top w:val="nil"/>
              <w:left w:val="nil"/>
              <w:bottom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50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454" w:hRule="exac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szCs w:val="21"/>
              </w:rPr>
            </w:pPr>
            <w:r>
              <w:rPr>
                <w:rFonts w:hint="eastAsia" w:cs="宋体"/>
                <w:bCs/>
                <w:szCs w:val="21"/>
              </w:rPr>
              <w:t>5</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山东吉龙集团有限公司</w:t>
            </w:r>
          </w:p>
        </w:tc>
        <w:tc>
          <w:tcPr>
            <w:tcW w:w="122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2004年</w:t>
            </w:r>
          </w:p>
        </w:tc>
        <w:tc>
          <w:tcPr>
            <w:tcW w:w="1541" w:type="dxa"/>
            <w:tcBorders>
              <w:top w:val="nil"/>
              <w:left w:val="nil"/>
              <w:bottom w:val="single" w:color="auto" w:sz="4" w:space="0"/>
            </w:tcBorders>
            <w:tcMar>
              <w:top w:w="15" w:type="dxa"/>
              <w:left w:w="15" w:type="dxa"/>
              <w:right w:w="15" w:type="dxa"/>
            </w:tcMar>
            <w:vAlign w:val="center"/>
          </w:tcPr>
          <w:p>
            <w:pPr>
              <w:widowControl/>
              <w:spacing w:line="400" w:lineRule="exact"/>
              <w:jc w:val="center"/>
              <w:textAlignment w:val="center"/>
              <w:rPr>
                <w:rFonts w:cs="宋体"/>
                <w:bCs/>
                <w:color w:val="000000"/>
                <w:kern w:val="0"/>
                <w:szCs w:val="21"/>
              </w:rPr>
            </w:pPr>
            <w:r>
              <w:rPr>
                <w:rFonts w:hint="eastAsia" w:cs="宋体"/>
                <w:bCs/>
                <w:color w:val="000000"/>
                <w:kern w:val="0"/>
                <w:szCs w:val="21"/>
              </w:rPr>
              <w:t>250</w:t>
            </w:r>
          </w:p>
        </w:tc>
      </w:tr>
    </w:tbl>
    <w:p>
      <w:pPr>
        <w:pStyle w:val="4"/>
        <w:rPr>
          <w:lang w:val="zh-TW"/>
        </w:rPr>
      </w:pPr>
      <w:bookmarkStart w:id="42" w:name="_Toc32537"/>
      <w:r>
        <w:rPr>
          <w:rFonts w:hint="eastAsia"/>
          <w:lang w:val="zh-TW"/>
        </w:rPr>
        <w:t>（五）信息化建设</w:t>
      </w:r>
      <w:bookmarkEnd w:id="42"/>
    </w:p>
    <w:p>
      <w:pPr>
        <w:spacing w:line="400" w:lineRule="exact"/>
        <w:ind w:firstLine="480" w:firstLineChars="200"/>
        <w:rPr>
          <w:rFonts w:cs="宋体"/>
          <w:kern w:val="0"/>
          <w:sz w:val="24"/>
        </w:rPr>
      </w:pPr>
      <w:r>
        <w:rPr>
          <w:rFonts w:hint="eastAsia" w:cs="宋体"/>
          <w:kern w:val="0"/>
          <w:sz w:val="24"/>
        </w:rPr>
        <w:t>绝大多数教师在授课中使用多媒体并结合案例教学，尤其是专业课，通过多媒体教学手段以及多种教学软件将进出口业务的各环节非常逼真地展现在学生面前，增加了真实感。</w:t>
      </w:r>
      <w:r>
        <w:rPr>
          <w:rFonts w:hint="eastAsia" w:cs="宋体"/>
          <w:sz w:val="24"/>
        </w:rPr>
        <w:t>建设完成的专业课程课件包括国际贸易、国际贸易实务、进出口单证、国际货物运输、国际商务谈判、国际商法、中国对外贸易概论、国际贸易地理等20多个多媒体课件，大大提高了课堂教学效率。</w:t>
      </w:r>
      <w:r>
        <w:rPr>
          <w:rFonts w:hint="eastAsia" w:cs="宋体"/>
          <w:kern w:val="0"/>
          <w:sz w:val="24"/>
        </w:rPr>
        <w:t>学校购置的网络教学平台是增强师生互动的一个重要手段，每学期专业教师都将本学期授课的教学计划、教学大纲、教学课件等相关教学资源提交到网络平台供学生查阅学习，提前了解最新的课程设置安排，为预习课程、了解课程进度、掌握课程学习内容等方面提供了便利；同时，教师也利用网络教学平台进行课程建设项目申请、建设和结项，随时了解相关项目的进展工作。同时，学生借助现代技术</w:t>
      </w:r>
      <w:r>
        <w:rPr>
          <w:rFonts w:hint="eastAsia" w:cs="宋体"/>
          <w:sz w:val="24"/>
        </w:rPr>
        <w:t>开展自主式学习探索，根据教师开列的阅读书目学习和阅读经典著作，不断提高自身的专业素养。</w:t>
      </w:r>
      <w:r>
        <w:rPr>
          <w:rFonts w:hint="eastAsia" w:cs="宋体"/>
          <w:kern w:val="0"/>
          <w:sz w:val="24"/>
        </w:rPr>
        <w:t>2014年学校新购置运行的新教务信息网也极大方便了教师的教学管理工作。开学之初，教师可以了解授课班级和学生情况，特殊情况下也自行查找借用教室，避免了教学管理中的层层申请程序，提高了教学管理的工作效率。</w:t>
      </w:r>
    </w:p>
    <w:p>
      <w:pPr>
        <w:pStyle w:val="3"/>
        <w:rPr>
          <w:lang w:val="zh-TW"/>
        </w:rPr>
      </w:pPr>
      <w:bookmarkStart w:id="43" w:name="_Toc13558"/>
      <w:r>
        <w:rPr>
          <w:rFonts w:hint="eastAsia"/>
          <w:lang w:val="zh-TW"/>
        </w:rPr>
        <w:t>四、培养机制与特色</w:t>
      </w:r>
      <w:bookmarkEnd w:id="43"/>
    </w:p>
    <w:p>
      <w:pPr>
        <w:pStyle w:val="4"/>
        <w:rPr>
          <w:lang w:val="zh-TW"/>
        </w:rPr>
      </w:pPr>
      <w:bookmarkStart w:id="44" w:name="_Toc24924"/>
      <w:r>
        <w:rPr>
          <w:rFonts w:hint="eastAsia"/>
        </w:rPr>
        <w:t>（一）</w:t>
      </w:r>
      <w:r>
        <w:rPr>
          <w:rFonts w:hint="eastAsia"/>
          <w:lang w:val="zh-TW"/>
        </w:rPr>
        <w:t>产学研协同育人机制</w:t>
      </w:r>
      <w:bookmarkEnd w:id="44"/>
    </w:p>
    <w:p>
      <w:pPr>
        <w:pStyle w:val="31"/>
        <w:spacing w:before="0" w:beforeAutospacing="0" w:after="0" w:afterAutospacing="0" w:line="400" w:lineRule="exact"/>
        <w:ind w:firstLine="480" w:firstLineChars="200"/>
        <w:rPr>
          <w:rFonts w:ascii="Times New Roman" w:hAnsi="Times New Roman"/>
        </w:rPr>
      </w:pPr>
      <w:r>
        <w:rPr>
          <w:rFonts w:hint="eastAsia" w:ascii="Times New Roman" w:hAnsi="Times New Roman"/>
        </w:rPr>
        <w:t>主要是在教学实习环节组织学生到出口企业参观，聘请出口企业业务人员给学生做讲座，介绍出口形势、行业发展情况以及进出口中的经验教训，同时鼓励教师与校外企业合作，包括任课教师到社会兼职挂职锻炼，充分发挥教师的专业优势的同时拓宽教师的专业范围，更好将教学科研与社会实践相结合。部分教师参加一些研究部门如商务部研究院、山东省对外经济学会以及对外经贸大学等研究机构及大学举办的一些会议，并将会议的最新内容带回到课堂中，也邀请一些研究机构的研究人员来学校做专题报告。</w:t>
      </w:r>
    </w:p>
    <w:p>
      <w:pPr>
        <w:pStyle w:val="4"/>
      </w:pPr>
      <w:bookmarkStart w:id="45" w:name="_Toc31844"/>
      <w:r>
        <w:rPr>
          <w:rFonts w:hint="eastAsia"/>
        </w:rPr>
        <w:t>（二）办学特色</w:t>
      </w:r>
      <w:bookmarkEnd w:id="45"/>
    </w:p>
    <w:p>
      <w:pPr>
        <w:overflowPunct w:val="0"/>
        <w:spacing w:line="400" w:lineRule="exact"/>
        <w:ind w:firstLine="480" w:firstLineChars="200"/>
        <w:rPr>
          <w:rFonts w:cs="宋体"/>
          <w:sz w:val="24"/>
        </w:rPr>
      </w:pPr>
      <w:r>
        <w:rPr>
          <w:rFonts w:hint="eastAsia" w:cs="宋体"/>
          <w:sz w:val="24"/>
        </w:rPr>
        <w:t>学院以学风为核心，以管理为保障，以活动为平台，以发展为目标，突出管理育人、服务育人、教育育人三大职能，为学生素质提升、个性化发展、成长成才奠定良好的基础。主要工作包括以下几个方面：（1）完善管理组织，突出主题教育，全力探索新媒体立体合力育人。筑强思想政治工作的组织基础，扎实开展形式多样的重点突出的主题教育活动，全力探索新媒体立体合力育人模式。（2）完善规章规范，强化规章落地执行。借鉴危害分析与关键点控制技术，建立立体的规章规范认知体系，实行学工办-班主任-学生干部三级立体落实体系。（3）切实做好学生发展指导，为学生发展保驾护航助力成才。扎实推进学生心理健康工作队伍建设，认真实施普查和疏导谈话，注重引导帮扶，助力学生身心健康，引导大学生做好人生规划，鼓励扶持大学生创业，多方位搭建学生发展平台。（4）多措并举抓课堂学习，全力加强学风建设。改革课堂教学授课模式和考核模式，强化过程考核，建立学生学业学习状态数据监控体系，建立学风建设的长效机制。（5）因地制宜，因材施教，积极构建适合中外合作办学特点的具有国际特色的学生工作体系。以中外学生学习生活共同体为纽带，做好大学生国际志愿服务；以中外学生共建为载体，探索建设具有国际视野的学生会组织；以中外学生联谊为纽带，提升学生的国际视野，圆学生出国梦。（6）多措并举立体化加强团组织规范化建设，不断提升团员素质。</w:t>
      </w:r>
    </w:p>
    <w:p>
      <w:pPr>
        <w:spacing w:line="400" w:lineRule="exact"/>
        <w:ind w:firstLine="480" w:firstLineChars="200"/>
        <w:rPr>
          <w:rFonts w:cs="宋体"/>
          <w:sz w:val="24"/>
        </w:rPr>
      </w:pPr>
      <w:r>
        <w:rPr>
          <w:rFonts w:hint="eastAsia" w:cs="宋体"/>
          <w:sz w:val="24"/>
        </w:rPr>
        <w:t>外语学习方面，除了计划内的外语学习课程之外，学院还为学生免费增加了英语、韩国语课外课程的强化学习，以及低成本的意大利语学习，让学生学好外语，增加选择出国留学目的地的机会。学院每学期都组织中外学生外语学习“一对一”结对子互帮互学活动，让中外学生根据个人意向自由选择外语学习伙伴，做到互帮互学，提高学习外语的兴趣和效率。实施了既形式多样又生动有趣的英语第二课堂计划，有英语晚会、英语角、英语报、英文影视欣赏、英语演讲赛、英语歌唱赛、英语辩论赛等。</w:t>
      </w:r>
    </w:p>
    <w:p>
      <w:pPr>
        <w:pStyle w:val="4"/>
      </w:pPr>
      <w:bookmarkStart w:id="46" w:name="_Toc27665"/>
      <w:r>
        <w:rPr>
          <w:rFonts w:hint="eastAsia"/>
        </w:rPr>
        <w:t>（三）教学管理</w:t>
      </w:r>
      <w:bookmarkEnd w:id="46"/>
    </w:p>
    <w:p>
      <w:pPr>
        <w:spacing w:line="400" w:lineRule="exact"/>
        <w:ind w:firstLine="480" w:firstLineChars="200"/>
        <w:rPr>
          <w:rFonts w:cs="宋体"/>
          <w:kern w:val="0"/>
          <w:sz w:val="24"/>
        </w:rPr>
      </w:pPr>
      <w:r>
        <w:rPr>
          <w:rFonts w:hint="eastAsia" w:cs="宋体"/>
          <w:kern w:val="0"/>
          <w:sz w:val="24"/>
        </w:rPr>
        <w:t>近年来随着学校对教学管理力度加大，教师对教学的投入不断增大，从备课、授课到批阅试卷、指导论文等越来越规范。严格执行学校的所有教学规章制度，教学各环节执行学校的质量标准，教学质量监控体系完善，措施得力。</w:t>
      </w:r>
      <w:r>
        <w:rPr>
          <w:rFonts w:hint="eastAsia" w:cs="宋体"/>
          <w:sz w:val="24"/>
        </w:rPr>
        <w:t>与国际经济与贸易专业相关的教学管理规章制度主要包括：国际教育学院教师工作规范；国际教育学院教学规章制度；国际教育学院关于加强教学管理工作的意见；国际教育学院教研室教学工作学习制度；招聘教师试讲制度；新教师试讲制度；教案检查制度；教学督导制度；领导、教师听课制度；教师教学质量评估制度；课堂教学质量检查制度；关于学生评教信息收集的规定；实践教学质量标准的规定；考试质量标准的规定；毕业论文质量标准的规定；国</w:t>
      </w:r>
      <w:r>
        <w:rPr>
          <w:rFonts w:hint="eastAsia" w:cs="宋体"/>
          <w:spacing w:val="-6"/>
          <w:sz w:val="24"/>
        </w:rPr>
        <w:t>际教育学院教学档案；实验室规则；教学秘书工作职责；学生管理手册等。</w:t>
      </w:r>
      <w:r>
        <w:rPr>
          <w:rFonts w:hint="eastAsia" w:cs="宋体"/>
          <w:spacing w:val="-6"/>
          <w:kern w:val="0"/>
          <w:sz w:val="24"/>
        </w:rPr>
        <w:t>学院成立了</w:t>
      </w:r>
      <w:r>
        <w:rPr>
          <w:rFonts w:hint="eastAsia" w:cs="宋体"/>
          <w:kern w:val="0"/>
          <w:sz w:val="24"/>
        </w:rPr>
        <w:t>院长为组长、教学院长为副组长的听课工作领导小组，每学期每人至少听课6次；能够及时处理听课中发现的问题，并向教师反馈；能够通过听课及时解决学生提出的合理要求。</w:t>
      </w:r>
    </w:p>
    <w:p>
      <w:pPr>
        <w:spacing w:line="400" w:lineRule="exact"/>
        <w:ind w:firstLine="539"/>
        <w:rPr>
          <w:rFonts w:cs="宋体"/>
          <w:kern w:val="0"/>
          <w:sz w:val="24"/>
        </w:rPr>
      </w:pPr>
      <w:r>
        <w:rPr>
          <w:rFonts w:hint="eastAsia" w:cs="宋体"/>
          <w:kern w:val="0"/>
          <w:sz w:val="24"/>
        </w:rPr>
        <w:t>各课程考试试卷命题质量较高，难度适当，批阅严格，成绩基本成正态分布，试卷分析认真，能够客观查找存在的问题并提出改进对策，试卷存档规范，每学期初教研室主任对上学期的试卷进行检查，发现的个别问题能够及时纠正。毕业论文选题大多紧密贴近专业，工作量恰当，逻辑清晰，版面、数据处理及图表规范，有较好的文献应用和英语应用能力，附件表格及材料完整规范，每年秋季学期初对夏季学期末的毕业论文进行抽查评估，评估材料存档。</w:t>
      </w:r>
    </w:p>
    <w:p>
      <w:pPr>
        <w:spacing w:line="400" w:lineRule="exact"/>
        <w:ind w:firstLine="539"/>
        <w:rPr>
          <w:rFonts w:cs="宋体"/>
          <w:kern w:val="0"/>
          <w:sz w:val="24"/>
        </w:rPr>
      </w:pPr>
      <w:r>
        <w:rPr>
          <w:rFonts w:hint="eastAsia" w:cs="宋体"/>
          <w:kern w:val="0"/>
          <w:sz w:val="24"/>
        </w:rPr>
        <w:t>所有课程均有课程教学大纲，并挂在网络教学平台上，内容衔接较好，内容更新能有效衔接国际贸易行业需求。授课计划齐全、规范，并挂在网络教学平台上。实验实习管理方面，实习任务书填写完整，实习组织管理规范，指导教师认真负责，效果较好。</w:t>
      </w:r>
    </w:p>
    <w:p>
      <w:pPr>
        <w:pStyle w:val="3"/>
        <w:bidi w:val="0"/>
        <w:rPr>
          <w:color w:val="auto"/>
          <w:lang w:val="zh-TW" w:eastAsia="zh-TW"/>
        </w:rPr>
      </w:pPr>
      <w:bookmarkStart w:id="47" w:name="_Toc13934"/>
      <w:bookmarkStart w:id="48" w:name="_Toc25472"/>
      <w:r>
        <w:rPr>
          <w:rFonts w:hint="eastAsia"/>
          <w:color w:val="auto"/>
          <w:lang w:val="zh-TW"/>
        </w:rPr>
        <w:t>五、</w:t>
      </w:r>
      <w:r>
        <w:rPr>
          <w:rFonts w:hint="eastAsia"/>
          <w:color w:val="auto"/>
          <w:lang w:val="zh-TW" w:eastAsia="zh-TW"/>
        </w:rPr>
        <w:t>培养质量</w:t>
      </w:r>
      <w:bookmarkEnd w:id="47"/>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Arial"/>
          <w:color w:val="auto"/>
          <w:sz w:val="24"/>
        </w:rPr>
      </w:pPr>
      <w:r>
        <w:rPr>
          <w:rFonts w:hint="eastAsia" w:ascii="宋体" w:hAnsi="宋体"/>
          <w:color w:val="auto"/>
          <w:sz w:val="24"/>
        </w:rPr>
        <w:t xml:space="preserve"> </w:t>
      </w:r>
      <w:r>
        <w:rPr>
          <w:rFonts w:hint="eastAsia" w:ascii="宋体" w:hAnsi="宋体" w:cs="Arial"/>
          <w:color w:val="auto"/>
          <w:sz w:val="24"/>
        </w:rPr>
        <w:t>20</w:t>
      </w:r>
      <w:r>
        <w:rPr>
          <w:rFonts w:hint="eastAsia" w:ascii="宋体" w:hAnsi="宋体" w:cs="Arial"/>
          <w:color w:val="auto"/>
          <w:sz w:val="24"/>
          <w:lang w:val="en-US" w:eastAsia="zh-CN"/>
        </w:rPr>
        <w:t>20</w:t>
      </w:r>
      <w:r>
        <w:rPr>
          <w:rFonts w:hint="eastAsia" w:ascii="宋体" w:hAnsi="宋体" w:cs="Arial"/>
          <w:color w:val="auto"/>
          <w:sz w:val="24"/>
        </w:rPr>
        <w:t>届毕业生就业率达84.11%，没有就业的学生在准备参加2021年的专升本考试、2020年末的公务员考试或准备出国深造等；就业专业对口率较高，就业单位满意率为</w:t>
      </w:r>
      <w:r>
        <w:rPr>
          <w:rFonts w:hint="eastAsia" w:ascii="宋体" w:hAnsi="宋体" w:cs="Arial"/>
          <w:color w:val="auto"/>
          <w:sz w:val="24"/>
        </w:rPr>
        <w:softHyphen/>
      </w:r>
      <w:r>
        <w:rPr>
          <w:rFonts w:hint="eastAsia" w:ascii="宋体" w:hAnsi="宋体" w:cs="Arial"/>
          <w:color w:val="auto"/>
          <w:sz w:val="24"/>
        </w:rPr>
        <w:softHyphen/>
      </w:r>
      <w:r>
        <w:rPr>
          <w:rFonts w:hint="eastAsia" w:ascii="宋体" w:hAnsi="宋体" w:cs="Arial"/>
          <w:color w:val="auto"/>
          <w:sz w:val="24"/>
        </w:rPr>
        <w:t>86%，社会对该专业的评价尚可；毕业生现状满意度达83%，毕业生职业发展较好。不少学生通过自己的努力获得了专升本</w:t>
      </w:r>
      <w:r>
        <w:rPr>
          <w:rFonts w:hint="eastAsia" w:ascii="宋体" w:hAnsi="宋体" w:cs="Arial"/>
          <w:color w:val="auto"/>
          <w:sz w:val="24"/>
          <w:lang w:eastAsia="zh-CN"/>
        </w:rPr>
        <w:t>的机会，</w:t>
      </w:r>
      <w:r>
        <w:rPr>
          <w:rFonts w:hint="eastAsia" w:ascii="宋体" w:hAnsi="宋体" w:cs="Arial"/>
          <w:color w:val="auto"/>
          <w:sz w:val="24"/>
        </w:rPr>
        <w:t>专升本比率</w:t>
      </w:r>
      <w:r>
        <w:rPr>
          <w:rFonts w:hint="eastAsia" w:ascii="宋体" w:hAnsi="宋体" w:cs="Arial"/>
          <w:color w:val="auto"/>
          <w:sz w:val="24"/>
          <w:lang w:eastAsia="zh-CN"/>
        </w:rPr>
        <w:t>近</w:t>
      </w:r>
      <w:r>
        <w:rPr>
          <w:rFonts w:hint="eastAsia" w:ascii="宋体" w:hAnsi="宋体" w:cs="Arial"/>
          <w:color w:val="auto"/>
          <w:sz w:val="24"/>
        </w:rPr>
        <w:t>2</w:t>
      </w:r>
      <w:r>
        <w:rPr>
          <w:rFonts w:hint="eastAsia" w:ascii="宋体" w:hAnsi="宋体" w:cs="Arial"/>
          <w:color w:val="auto"/>
          <w:sz w:val="24"/>
          <w:lang w:val="en-US" w:eastAsia="zh-CN"/>
        </w:rPr>
        <w:t>5</w:t>
      </w:r>
      <w:r>
        <w:rPr>
          <w:rFonts w:hint="eastAsia" w:ascii="宋体" w:hAnsi="宋体" w:cs="Arial"/>
          <w:color w:val="auto"/>
          <w:sz w:val="24"/>
        </w:rPr>
        <w:t>%</w:t>
      </w:r>
      <w:r>
        <w:rPr>
          <w:rFonts w:hint="eastAsia" w:ascii="宋体" w:hAnsi="宋体" w:cs="Arial"/>
          <w:color w:val="auto"/>
          <w:sz w:val="24"/>
          <w:lang w:eastAsia="zh-CN"/>
        </w:rPr>
        <w:t>；还有较多学生获得</w:t>
      </w:r>
      <w:r>
        <w:rPr>
          <w:rFonts w:hint="eastAsia" w:ascii="宋体" w:hAnsi="宋体" w:cs="Arial"/>
          <w:color w:val="auto"/>
          <w:sz w:val="24"/>
        </w:rPr>
        <w:t>出国留学深造的机会。毕业生用人单位主要是民营企业和中外合资/外资/独资企业，符合专业培养目标</w:t>
      </w:r>
      <w:r>
        <w:rPr>
          <w:rFonts w:hint="eastAsia" w:ascii="宋体" w:hAnsi="宋体" w:cs="Arial"/>
          <w:color w:val="auto"/>
          <w:sz w:val="24"/>
          <w:lang w:eastAsia="zh-CN"/>
        </w:rPr>
        <w:t>。学生</w:t>
      </w:r>
      <w:r>
        <w:rPr>
          <w:rFonts w:hint="eastAsia" w:ascii="宋体" w:hAnsi="宋体" w:cs="Arial"/>
          <w:color w:val="auto"/>
          <w:sz w:val="24"/>
        </w:rPr>
        <w:t>毕业后从事的行业工作与专业相关度达60%</w:t>
      </w:r>
      <w:r>
        <w:rPr>
          <w:rFonts w:hint="eastAsia" w:ascii="宋体" w:hAnsi="宋体" w:cs="Arial"/>
          <w:color w:val="auto"/>
          <w:sz w:val="24"/>
          <w:lang w:eastAsia="zh-CN"/>
        </w:rPr>
        <w:t>，</w:t>
      </w:r>
      <w:r>
        <w:rPr>
          <w:rFonts w:hint="eastAsia" w:ascii="宋体" w:hAnsi="宋体" w:cs="Arial"/>
          <w:color w:val="auto"/>
          <w:sz w:val="24"/>
        </w:rPr>
        <w:t>就业质量良好，能很快适应本职工作。学生工作也较稳定，薪资因工作不同而不同。调查分析表明，社会对该专业毕业生的认可度较高，80%以上的学生也表示对所从事的工作基本满意。</w:t>
      </w:r>
    </w:p>
    <w:p>
      <w:pPr>
        <w:pStyle w:val="3"/>
        <w:bidi w:val="0"/>
        <w:rPr>
          <w:color w:val="auto"/>
          <w:lang w:val="zh-TW"/>
        </w:rPr>
      </w:pPr>
      <w:bookmarkStart w:id="49" w:name="_Toc14356"/>
      <w:r>
        <w:rPr>
          <w:rFonts w:hint="eastAsia"/>
          <w:color w:val="auto"/>
          <w:lang w:val="zh-TW"/>
        </w:rPr>
        <w:t>六、毕业生就业创业</w:t>
      </w:r>
      <w:bookmarkEnd w:id="49"/>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Arial"/>
          <w:color w:val="auto"/>
          <w:sz w:val="24"/>
        </w:rPr>
      </w:pPr>
      <w:bookmarkStart w:id="50" w:name="_Toc18974"/>
      <w:r>
        <w:rPr>
          <w:rFonts w:hint="eastAsia" w:ascii="宋体" w:hAnsi="宋体" w:cs="Arial"/>
          <w:color w:val="auto"/>
          <w:sz w:val="24"/>
        </w:rPr>
        <w:t>国际教育学院党政领导高度重视毕业生就业</w:t>
      </w:r>
      <w:r>
        <w:rPr>
          <w:rFonts w:hint="eastAsia" w:ascii="宋体" w:hAnsi="宋体" w:cs="Arial"/>
          <w:color w:val="auto"/>
          <w:sz w:val="24"/>
          <w:lang w:eastAsia="zh-CN"/>
        </w:rPr>
        <w:t>创业</w:t>
      </w:r>
      <w:r>
        <w:rPr>
          <w:rFonts w:hint="eastAsia" w:ascii="宋体" w:hAnsi="宋体" w:cs="Arial"/>
          <w:color w:val="auto"/>
          <w:sz w:val="24"/>
        </w:rPr>
        <w:t>工作</w:t>
      </w:r>
      <w:r>
        <w:rPr>
          <w:rFonts w:hint="eastAsia" w:ascii="宋体" w:hAnsi="宋体" w:cs="Arial"/>
          <w:color w:val="auto"/>
          <w:sz w:val="24"/>
          <w:lang w:eastAsia="zh-CN"/>
        </w:rPr>
        <w:t>。</w:t>
      </w:r>
      <w:r>
        <w:rPr>
          <w:rFonts w:hint="eastAsia" w:ascii="宋体" w:hAnsi="宋体" w:cs="Arial"/>
          <w:color w:val="auto"/>
          <w:sz w:val="24"/>
        </w:rPr>
        <w:t>毕业生指导教师、辅导员、班主任等都</w:t>
      </w:r>
      <w:r>
        <w:rPr>
          <w:rFonts w:hint="eastAsia" w:ascii="宋体" w:hAnsi="宋体" w:cs="Arial"/>
          <w:color w:val="auto"/>
          <w:sz w:val="24"/>
          <w:lang w:eastAsia="zh-CN"/>
        </w:rPr>
        <w:t>积极给予</w:t>
      </w:r>
      <w:r>
        <w:rPr>
          <w:rFonts w:hint="eastAsia" w:ascii="宋体" w:hAnsi="宋体" w:cs="Arial"/>
          <w:color w:val="auto"/>
          <w:sz w:val="24"/>
        </w:rPr>
        <w:t>毕业生就业咨询、辅导等帮助，鼓励学生尽早就</w:t>
      </w:r>
      <w:r>
        <w:rPr>
          <w:rFonts w:hint="eastAsia" w:ascii="宋体" w:hAnsi="宋体" w:cs="Arial"/>
          <w:color w:val="auto"/>
          <w:sz w:val="24"/>
          <w:lang w:eastAsia="zh-CN"/>
        </w:rPr>
        <w:t>业</w:t>
      </w:r>
      <w:r>
        <w:rPr>
          <w:rFonts w:hint="eastAsia" w:ascii="宋体" w:hAnsi="宋体" w:cs="Arial"/>
          <w:color w:val="auto"/>
          <w:sz w:val="24"/>
        </w:rPr>
        <w:t>。外贸</w:t>
      </w:r>
      <w:r>
        <w:rPr>
          <w:rFonts w:hint="eastAsia" w:ascii="宋体" w:hAnsi="宋体" w:cs="Arial"/>
          <w:color w:val="auto"/>
          <w:sz w:val="24"/>
          <w:lang w:eastAsia="zh-CN"/>
        </w:rPr>
        <w:t>公司</w:t>
      </w:r>
      <w:r>
        <w:rPr>
          <w:rFonts w:hint="eastAsia" w:ascii="宋体" w:hAnsi="宋体" w:cs="Arial"/>
          <w:color w:val="auto"/>
          <w:sz w:val="24"/>
        </w:rPr>
        <w:t>或相关的物流（港口物流）</w:t>
      </w:r>
      <w:r>
        <w:rPr>
          <w:rFonts w:hint="eastAsia" w:ascii="宋体" w:hAnsi="宋体" w:cs="Arial"/>
          <w:color w:val="auto"/>
          <w:sz w:val="24"/>
          <w:lang w:eastAsia="zh-CN"/>
        </w:rPr>
        <w:t>企业等</w:t>
      </w:r>
      <w:r>
        <w:rPr>
          <w:rFonts w:hint="eastAsia" w:ascii="宋体" w:hAnsi="宋体" w:cs="Arial"/>
          <w:color w:val="auto"/>
          <w:sz w:val="24"/>
        </w:rPr>
        <w:t>构成了该专业毕业生用人单位的主体</w:t>
      </w:r>
      <w:r>
        <w:rPr>
          <w:rFonts w:hint="eastAsia" w:ascii="宋体" w:hAnsi="宋体" w:cs="Arial"/>
          <w:color w:val="auto"/>
          <w:sz w:val="24"/>
          <w:lang w:eastAsia="zh-CN"/>
        </w:rPr>
        <w:t>，还有</w:t>
      </w:r>
      <w:r>
        <w:rPr>
          <w:rFonts w:hint="eastAsia" w:ascii="宋体" w:hAnsi="宋体" w:cs="Arial"/>
          <w:color w:val="auto"/>
          <w:sz w:val="24"/>
        </w:rPr>
        <w:t>部分学生在</w:t>
      </w:r>
      <w:r>
        <w:rPr>
          <w:rFonts w:hint="eastAsia" w:ascii="宋体" w:hAnsi="宋体" w:cs="Arial"/>
          <w:color w:val="auto"/>
          <w:sz w:val="24"/>
          <w:lang w:eastAsia="zh-CN"/>
        </w:rPr>
        <w:t>民营</w:t>
      </w:r>
      <w:r>
        <w:rPr>
          <w:rFonts w:hint="eastAsia" w:ascii="宋体" w:hAnsi="宋体" w:cs="Arial"/>
          <w:color w:val="auto"/>
          <w:sz w:val="24"/>
        </w:rPr>
        <w:t>企业做国内销售、</w:t>
      </w:r>
      <w:r>
        <w:rPr>
          <w:rFonts w:hint="eastAsia" w:ascii="宋体" w:hAnsi="宋体" w:cs="Arial"/>
          <w:color w:val="auto"/>
          <w:sz w:val="24"/>
          <w:lang w:eastAsia="zh-CN"/>
        </w:rPr>
        <w:t>考取</w:t>
      </w:r>
      <w:r>
        <w:rPr>
          <w:rFonts w:hint="eastAsia" w:ascii="宋体" w:hAnsi="宋体" w:cs="Arial"/>
          <w:color w:val="auto"/>
          <w:sz w:val="24"/>
        </w:rPr>
        <w:t>政府公务员或升读本科。</w:t>
      </w:r>
      <w:r>
        <w:rPr>
          <w:rFonts w:hint="eastAsia" w:ascii="宋体" w:hAnsi="宋体" w:cs="Arial"/>
          <w:color w:val="auto"/>
          <w:sz w:val="24"/>
          <w:lang w:val="en-US" w:eastAsia="zh-CN"/>
        </w:rPr>
        <w:t>就业范围主要集中在山东省内的民营和中小型外贸企业，与专业相关度较高，这也与国际经济与贸易专业特点有关。</w:t>
      </w:r>
      <w:r>
        <w:rPr>
          <w:rFonts w:hint="eastAsia" w:ascii="宋体" w:hAnsi="宋体" w:cs="Arial"/>
          <w:color w:val="auto"/>
          <w:sz w:val="24"/>
        </w:rPr>
        <w:t>近三年来，国际经济与贸易专业的毕业生初次就业率平均为80%，正式就业率平均7</w:t>
      </w:r>
      <w:r>
        <w:rPr>
          <w:rFonts w:hint="eastAsia" w:ascii="宋体" w:hAnsi="宋体" w:cs="Arial"/>
          <w:color w:val="auto"/>
          <w:sz w:val="24"/>
          <w:lang w:val="en-US" w:eastAsia="zh-CN"/>
        </w:rPr>
        <w:t>0</w:t>
      </w:r>
      <w:r>
        <w:rPr>
          <w:rFonts w:hint="eastAsia" w:ascii="宋体" w:hAnsi="宋体" w:cs="Arial"/>
          <w:color w:val="auto"/>
          <w:sz w:val="24"/>
        </w:rPr>
        <w:t>%。</w:t>
      </w:r>
      <w:r>
        <w:rPr>
          <w:rFonts w:hint="eastAsia" w:ascii="宋体" w:hAnsi="宋体" w:cs="Arial"/>
          <w:color w:val="auto"/>
          <w:sz w:val="24"/>
          <w:lang w:eastAsia="zh-CN"/>
        </w:rPr>
        <w:t>学生</w:t>
      </w:r>
      <w:r>
        <w:rPr>
          <w:rFonts w:hint="eastAsia" w:ascii="宋体" w:hAnsi="宋体" w:cs="Arial"/>
          <w:color w:val="auto"/>
          <w:sz w:val="24"/>
        </w:rPr>
        <w:t>具备良好的语言沟通能力和较强的</w:t>
      </w:r>
      <w:r>
        <w:rPr>
          <w:rFonts w:hint="eastAsia" w:ascii="宋体" w:hAnsi="宋体" w:cs="Arial"/>
          <w:color w:val="auto"/>
          <w:sz w:val="24"/>
          <w:lang w:eastAsia="zh-CN"/>
        </w:rPr>
        <w:t>行业适应性及实践能力</w:t>
      </w:r>
      <w:r>
        <w:rPr>
          <w:rFonts w:hint="eastAsia" w:ascii="宋体" w:hAnsi="宋体" w:cs="Arial"/>
          <w:color w:val="auto"/>
          <w:sz w:val="24"/>
        </w:rPr>
        <w:t>，</w:t>
      </w:r>
      <w:r>
        <w:rPr>
          <w:rFonts w:hint="eastAsia" w:ascii="宋体" w:hAnsi="宋体" w:cs="Arial"/>
          <w:color w:val="auto"/>
          <w:sz w:val="24"/>
          <w:lang w:eastAsia="zh-CN"/>
        </w:rPr>
        <w:t>因此在</w:t>
      </w:r>
      <w:r>
        <w:rPr>
          <w:rFonts w:hint="eastAsia" w:ascii="宋体" w:hAnsi="宋体" w:cs="Arial"/>
          <w:color w:val="auto"/>
          <w:sz w:val="24"/>
        </w:rPr>
        <w:t>工作岗位</w:t>
      </w:r>
      <w:r>
        <w:rPr>
          <w:rFonts w:hint="eastAsia" w:ascii="宋体" w:hAnsi="宋体" w:cs="Arial"/>
          <w:color w:val="auto"/>
          <w:sz w:val="24"/>
          <w:lang w:eastAsia="zh-CN"/>
        </w:rPr>
        <w:t>中表现良好，具有较好的职业发展潜力。工作中的交际能力、专业素养、自身素质</w:t>
      </w:r>
      <w:r>
        <w:rPr>
          <w:rFonts w:hint="eastAsia" w:ascii="宋体" w:hAnsi="宋体" w:cs="Arial"/>
          <w:color w:val="auto"/>
          <w:sz w:val="24"/>
        </w:rPr>
        <w:t>一直颇受用人单位的好评。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Arial"/>
          <w:color w:val="auto"/>
          <w:sz w:val="24"/>
          <w:lang w:val="en-US" w:eastAsia="zh-CN"/>
        </w:rPr>
      </w:pPr>
      <w:r>
        <w:rPr>
          <w:rFonts w:hint="eastAsia" w:ascii="宋体" w:hAnsi="宋体" w:cs="Arial"/>
          <w:color w:val="auto"/>
          <w:sz w:val="24"/>
          <w:lang w:val="en-US" w:eastAsia="zh-CN"/>
        </w:rPr>
        <w:t>为了提高学生的就业率，根据国际经济与贸易专业人才培养方式和学期培养计划，组织学生在第2学期进行创业基础实践教学，使学生掌握开展创业活动所需要的基本知识。通过实施大学生观看创新创业视频、创新创业优秀企业参观学习、创业专家及先进个人讲座、创业计划书撰写等开拓学生的创新创业意识，提升创新创业的强烈愿望和能力，训练全方位、多角度地创造性地解决实际问题，为学生创业提供坚实的理论和实践基础。</w:t>
      </w:r>
    </w:p>
    <w:p>
      <w:pPr>
        <w:pStyle w:val="3"/>
        <w:bidi w:val="0"/>
        <w:rPr>
          <w:color w:val="auto"/>
        </w:rPr>
      </w:pPr>
      <w:r>
        <w:rPr>
          <w:rFonts w:hint="eastAsia"/>
          <w:color w:val="auto"/>
          <w:lang w:val="zh-TW"/>
        </w:rPr>
        <w:t>七、</w:t>
      </w:r>
      <w:r>
        <w:rPr>
          <w:rFonts w:hint="eastAsia"/>
          <w:color w:val="auto"/>
          <w:lang w:val="zh-TW" w:eastAsia="zh-TW"/>
        </w:rPr>
        <w:t>专业人才社会需求分析及专业发展趋势分析</w:t>
      </w:r>
      <w:bookmarkEnd w:id="50"/>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olor w:val="auto"/>
          <w:sz w:val="24"/>
        </w:rPr>
      </w:pPr>
      <w:r>
        <w:rPr>
          <w:rFonts w:hint="eastAsia" w:ascii="宋体" w:hAnsi="宋体"/>
          <w:color w:val="auto"/>
          <w:sz w:val="24"/>
        </w:rPr>
        <w:t>随着世界经济一体化</w:t>
      </w:r>
      <w:r>
        <w:rPr>
          <w:rFonts w:hint="eastAsia" w:ascii="宋体" w:hAnsi="宋体"/>
          <w:color w:val="auto"/>
          <w:sz w:val="24"/>
          <w:lang w:eastAsia="zh-CN"/>
        </w:rPr>
        <w:t>的</w:t>
      </w:r>
      <w:r>
        <w:rPr>
          <w:rFonts w:hint="eastAsia" w:ascii="宋体" w:hAnsi="宋体"/>
          <w:color w:val="auto"/>
          <w:sz w:val="24"/>
        </w:rPr>
        <w:t>发展</w:t>
      </w:r>
      <w:r>
        <w:rPr>
          <w:rFonts w:hint="eastAsia" w:ascii="宋体" w:hAnsi="宋体"/>
          <w:color w:val="auto"/>
          <w:sz w:val="24"/>
          <w:lang w:eastAsia="zh-CN"/>
        </w:rPr>
        <w:t>，各国间经济贸易合作范围不断扩大，我国对外开放的步伐逐渐加大，“互联网</w:t>
      </w:r>
      <w:r>
        <w:rPr>
          <w:rFonts w:hint="eastAsia" w:ascii="宋体" w:hAnsi="宋体"/>
          <w:color w:val="auto"/>
          <w:sz w:val="24"/>
          <w:lang w:val="en-US" w:eastAsia="zh-CN"/>
        </w:rPr>
        <w:t>+</w:t>
      </w:r>
      <w:r>
        <w:rPr>
          <w:rFonts w:hint="eastAsia" w:ascii="宋体" w:hAnsi="宋体"/>
          <w:color w:val="auto"/>
          <w:sz w:val="24"/>
          <w:lang w:eastAsia="zh-CN"/>
        </w:rPr>
        <w:t>”背景下的物流行业也得到充分发展。</w:t>
      </w:r>
      <w:r>
        <w:rPr>
          <w:rFonts w:hint="eastAsia" w:ascii="宋体" w:hAnsi="宋体"/>
          <w:color w:val="auto"/>
          <w:sz w:val="24"/>
        </w:rPr>
        <w:t>尤其是国家放宽企业的进出口权后，许多中小企业拥有了外贸自营权，对国经贸专业人才的需求量越来越大，</w:t>
      </w:r>
      <w:r>
        <w:rPr>
          <w:rFonts w:hint="eastAsia" w:ascii="宋体" w:hAnsi="宋体"/>
          <w:color w:val="auto"/>
          <w:sz w:val="24"/>
          <w:lang w:eastAsia="zh-CN"/>
        </w:rPr>
        <w:t>特别是</w:t>
      </w:r>
      <w:r>
        <w:rPr>
          <w:rFonts w:hint="eastAsia" w:ascii="宋体" w:hAnsi="宋体"/>
          <w:color w:val="auto"/>
          <w:sz w:val="24"/>
        </w:rPr>
        <w:t>具有较强的业务操作能力</w:t>
      </w:r>
      <w:r>
        <w:rPr>
          <w:rFonts w:hint="eastAsia" w:ascii="宋体" w:hAnsi="宋体"/>
          <w:color w:val="auto"/>
          <w:sz w:val="24"/>
          <w:lang w:eastAsia="zh-CN"/>
        </w:rPr>
        <w:t>、</w:t>
      </w:r>
      <w:r>
        <w:rPr>
          <w:rFonts w:hint="eastAsia" w:ascii="宋体" w:hAnsi="宋体"/>
          <w:color w:val="auto"/>
          <w:sz w:val="24"/>
        </w:rPr>
        <w:t>能够很好地服务于地方经济</w:t>
      </w:r>
      <w:r>
        <w:rPr>
          <w:rFonts w:hint="eastAsia" w:ascii="宋体" w:hAnsi="宋体"/>
          <w:color w:val="auto"/>
          <w:sz w:val="24"/>
          <w:lang w:eastAsia="zh-CN"/>
        </w:rPr>
        <w:t>、</w:t>
      </w:r>
      <w:r>
        <w:rPr>
          <w:rFonts w:hint="eastAsia" w:ascii="宋体" w:hAnsi="宋体"/>
          <w:color w:val="auto"/>
          <w:sz w:val="24"/>
        </w:rPr>
        <w:t>服务于中小企业的外经贸人才更受一些外向型民营企业的欢迎，这就为本专业的发展提供了良好的机遇和条件。</w:t>
      </w:r>
      <w:r>
        <w:rPr>
          <w:rFonts w:hint="eastAsia" w:ascii="宋体" w:hAnsi="宋体"/>
          <w:color w:val="auto"/>
          <w:sz w:val="24"/>
          <w:lang w:eastAsia="zh-CN"/>
        </w:rPr>
        <w:t>在新的形势下，</w:t>
      </w:r>
      <w:r>
        <w:rPr>
          <w:rFonts w:hint="eastAsia" w:ascii="宋体" w:hAnsi="宋体"/>
          <w:color w:val="auto"/>
          <w:sz w:val="24"/>
        </w:rPr>
        <w:t>本专业立足</w:t>
      </w:r>
      <w:r>
        <w:rPr>
          <w:rFonts w:hint="eastAsia" w:ascii="宋体" w:hAnsi="宋体"/>
          <w:color w:val="auto"/>
          <w:sz w:val="24"/>
          <w:lang w:eastAsia="zh-CN"/>
        </w:rPr>
        <w:t>对</w:t>
      </w:r>
      <w:r>
        <w:rPr>
          <w:rFonts w:hint="eastAsia" w:ascii="宋体" w:hAnsi="宋体"/>
          <w:color w:val="auto"/>
          <w:sz w:val="24"/>
        </w:rPr>
        <w:t>外经贸行业和各地区域经济的发展，以市场需求为导向，深化专业建设和教学改革，以培养高素质复合型人才为目标，通过优化课程体系、强化实践教学以及应用英语教学</w:t>
      </w:r>
      <w:r>
        <w:rPr>
          <w:rFonts w:hint="eastAsia" w:ascii="宋体" w:hAnsi="宋体"/>
          <w:color w:val="auto"/>
          <w:sz w:val="24"/>
          <w:lang w:eastAsia="zh-CN"/>
        </w:rPr>
        <w:t>等，提升学生专业理论知识素养和专业实践能力，为学生就业奠定良好的基础。同时，重视对学生跨境电子商务能力的培养。使学生熟练掌握跨境电商平台操作流程，能够独立完成网店的开设、产品信息的实时发布，相关业务的推广，科学有效地处理跨境电商涉及的各类结算业务。</w:t>
      </w:r>
      <w:r>
        <w:rPr>
          <w:rFonts w:hint="eastAsia" w:ascii="宋体" w:hAnsi="宋体"/>
          <w:color w:val="auto"/>
          <w:sz w:val="24"/>
        </w:rPr>
        <w:t>自设立二十几年来</w:t>
      </w:r>
      <w:r>
        <w:rPr>
          <w:rFonts w:hint="eastAsia" w:ascii="宋体" w:hAnsi="宋体"/>
          <w:color w:val="auto"/>
          <w:sz w:val="24"/>
          <w:lang w:eastAsia="zh-CN"/>
        </w:rPr>
        <w:t>，</w:t>
      </w:r>
      <w:r>
        <w:rPr>
          <w:rFonts w:hint="eastAsia" w:ascii="宋体" w:hAnsi="宋体"/>
          <w:color w:val="auto"/>
          <w:sz w:val="24"/>
        </w:rPr>
        <w:t>专业建设取得了长足的进步。</w:t>
      </w:r>
    </w:p>
    <w:p>
      <w:pPr>
        <w:pStyle w:val="3"/>
      </w:pPr>
      <w:r>
        <w:rPr>
          <w:rFonts w:hint="eastAsia"/>
        </w:rPr>
        <w:t>八、存在的问题及整改措施</w:t>
      </w:r>
      <w:bookmarkEnd w:id="48"/>
    </w:p>
    <w:p>
      <w:pPr>
        <w:pStyle w:val="4"/>
      </w:pPr>
      <w:bookmarkStart w:id="51" w:name="_Toc11143"/>
      <w:r>
        <w:rPr>
          <w:rFonts w:hint="eastAsia"/>
        </w:rPr>
        <w:t>（一）存在的问题</w:t>
      </w:r>
      <w:bookmarkEnd w:id="51"/>
    </w:p>
    <w:p>
      <w:pPr>
        <w:spacing w:line="400" w:lineRule="exact"/>
        <w:ind w:firstLine="480" w:firstLineChars="200"/>
        <w:rPr>
          <w:rFonts w:cs="宋体"/>
          <w:sz w:val="24"/>
        </w:rPr>
      </w:pPr>
      <w:r>
        <w:rPr>
          <w:rFonts w:hint="eastAsia" w:cs="宋体"/>
          <w:sz w:val="24"/>
        </w:rPr>
        <w:t>该专业招生分数低，学生专业基础薄弱，学习主动性不强，课堂教学比较困难，临近周末缺课现象较多</w:t>
      </w:r>
    </w:p>
    <w:p>
      <w:pPr>
        <w:pStyle w:val="4"/>
      </w:pPr>
      <w:bookmarkStart w:id="52" w:name="_Toc20188"/>
      <w:r>
        <w:rPr>
          <w:rFonts w:hint="eastAsia"/>
        </w:rPr>
        <w:t>（二）整改措施</w:t>
      </w:r>
      <w:bookmarkEnd w:id="52"/>
    </w:p>
    <w:p>
      <w:pPr>
        <w:spacing w:line="400" w:lineRule="exact"/>
        <w:ind w:firstLine="480" w:firstLineChars="200"/>
        <w:rPr>
          <w:rFonts w:cs="宋体"/>
          <w:sz w:val="24"/>
        </w:rPr>
      </w:pPr>
      <w:r>
        <w:rPr>
          <w:rFonts w:hint="eastAsia" w:cs="宋体"/>
          <w:sz w:val="24"/>
        </w:rPr>
        <w:t>1.要求任课教师上课时严格点名，严格要求，对故意缺课的学生上报学院团委予以纪律处分。</w:t>
      </w:r>
    </w:p>
    <w:p>
      <w:pPr>
        <w:spacing w:line="400" w:lineRule="exact"/>
        <w:ind w:firstLine="480"/>
        <w:rPr>
          <w:rFonts w:cs="宋体"/>
          <w:sz w:val="24"/>
        </w:rPr>
      </w:pPr>
      <w:r>
        <w:rPr>
          <w:rFonts w:hint="eastAsia" w:cs="宋体"/>
          <w:sz w:val="24"/>
        </w:rPr>
        <w:t>2.要求任课教师关爱学生，使学生感受到来自课堂教师的温暖，不再故意旷课，认真学习。</w:t>
      </w:r>
    </w:p>
    <w:p>
      <w:pPr>
        <w:spacing w:line="400" w:lineRule="exact"/>
        <w:ind w:firstLine="480"/>
        <w:rPr>
          <w:sz w:val="24"/>
          <w:lang w:val="zh-TW"/>
        </w:rPr>
      </w:pPr>
      <w:r>
        <w:rPr>
          <w:rFonts w:hint="eastAsia" w:cs="宋体"/>
          <w:sz w:val="24"/>
        </w:rPr>
        <w:t>3</w:t>
      </w:r>
      <w:r>
        <w:rPr>
          <w:rFonts w:cs="宋体"/>
          <w:sz w:val="24"/>
        </w:rPr>
        <w:t>.</w:t>
      </w:r>
      <w:r>
        <w:rPr>
          <w:rFonts w:hint="eastAsia" w:cs="宋体"/>
          <w:sz w:val="24"/>
        </w:rPr>
        <w:t>自从2014年该专业划归国际教育学院以来，我们对学生严格管理，严格考勤，学生学风大为好转。学院每学期中间开设任课教师座谈会，总结教学中存在的问题，探讨解决办法，集思广益，任课教师课堂教学质量大大提高，学生的学习氛围有较大好转，得到了学生、家长和社会的肯定。</w:t>
      </w:r>
    </w:p>
    <w:sectPr>
      <w:pgSz w:w="11906" w:h="16838"/>
      <w:pgMar w:top="1417" w:right="1417" w:bottom="1417" w:left="1417" w:header="851" w:footer="992" w:gutter="0"/>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nsolas">
    <w:panose1 w:val="020B0609020204030204"/>
    <w:charset w:val="00"/>
    <w:family w:val="modern"/>
    <w:pitch w:val="default"/>
    <w:sig w:usb0="E00006FF" w:usb1="0000FCFF" w:usb2="00000001" w:usb3="00000000" w:csb0="6000019F" w:csb1="DFD70000"/>
  </w:font>
  <w:font w:name="MingLiU">
    <w:altName w:val="PMingLiU-ExtB"/>
    <w:panose1 w:val="02010609000101010101"/>
    <w:charset w:val="88"/>
    <w:family w:val="modern"/>
    <w:pitch w:val="default"/>
    <w:sig w:usb0="00000000" w:usb1="00000000" w:usb2="00000010" w:usb3="00000000" w:csb0="00100000" w:csb1="00000000"/>
  </w:font>
  <w:font w:name="Angsana New">
    <w:altName w:val="Microsoft Sans Serif"/>
    <w:panose1 w:val="02020603050405020304"/>
    <w:charset w:val="DE"/>
    <w:family w:val="roman"/>
    <w:pitch w:val="default"/>
    <w:sig w:usb0="00000000" w:usb1="00000000" w:usb2="00000000" w:usb3="00000000" w:csb0="0001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MingLiUfalt">
    <w:altName w:val="MingLiU-ExtB"/>
    <w:panose1 w:val="00000000000000000000"/>
    <w:charset w:val="88"/>
    <w:family w:val="modern"/>
    <w:pitch w:val="default"/>
    <w:sig w:usb0="00000000" w:usb1="00000000" w:usb2="00000010" w:usb3="00000000" w:csb0="00100000" w:csb1="00000000"/>
  </w:font>
  <w:font w:name="Microsoft YaHei UI">
    <w:panose1 w:val="020B0503020204020204"/>
    <w:charset w:val="86"/>
    <w:family w:val="swiss"/>
    <w:pitch w:val="default"/>
    <w:sig w:usb0="80000287" w:usb1="2ACF3C50" w:usb2="00000016" w:usb3="00000000" w:csb0="0004001F" w:csb1="00000000"/>
  </w:font>
  <w:font w:name="方正大标宋_GBK">
    <w:altName w:val="宋体"/>
    <w:panose1 w:val="00000000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361436"/>
    </w:sdtPr>
    <w:sdtContent>
      <w:p>
        <w:pPr>
          <w:pStyle w:val="2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18</w:t>
    </w:r>
    <w:r>
      <w:rPr>
        <w:rFonts w:ascii="Times New Roman" w:hAnsi="Times New Roman" w:cs="Times New Roman"/>
        <w:sz w:val="21"/>
        <w:lang w:val="zh-CN"/>
      </w:rPr>
      <w:fldChar w:fldCharType="end"/>
    </w:r>
  </w:p>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05"/>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E3"/>
    <w:rsid w:val="0000286B"/>
    <w:rsid w:val="00010C68"/>
    <w:rsid w:val="000152D0"/>
    <w:rsid w:val="0002014D"/>
    <w:rsid w:val="00021F07"/>
    <w:rsid w:val="000266CF"/>
    <w:rsid w:val="00027A55"/>
    <w:rsid w:val="00031281"/>
    <w:rsid w:val="000362F6"/>
    <w:rsid w:val="00041468"/>
    <w:rsid w:val="000417C6"/>
    <w:rsid w:val="0004281D"/>
    <w:rsid w:val="000541F3"/>
    <w:rsid w:val="000542A7"/>
    <w:rsid w:val="00056154"/>
    <w:rsid w:val="000574E2"/>
    <w:rsid w:val="000613A5"/>
    <w:rsid w:val="00063DD8"/>
    <w:rsid w:val="0007729B"/>
    <w:rsid w:val="00083C10"/>
    <w:rsid w:val="0008728C"/>
    <w:rsid w:val="000A2DB5"/>
    <w:rsid w:val="000A61AE"/>
    <w:rsid w:val="000B086D"/>
    <w:rsid w:val="000B19A4"/>
    <w:rsid w:val="000B2BAA"/>
    <w:rsid w:val="000C24D1"/>
    <w:rsid w:val="000C2CB6"/>
    <w:rsid w:val="000D479B"/>
    <w:rsid w:val="000D4CA7"/>
    <w:rsid w:val="000E345D"/>
    <w:rsid w:val="000E57C9"/>
    <w:rsid w:val="0010037B"/>
    <w:rsid w:val="00100436"/>
    <w:rsid w:val="00102309"/>
    <w:rsid w:val="00104620"/>
    <w:rsid w:val="001049C1"/>
    <w:rsid w:val="00105143"/>
    <w:rsid w:val="00105577"/>
    <w:rsid w:val="00106602"/>
    <w:rsid w:val="00115023"/>
    <w:rsid w:val="00116982"/>
    <w:rsid w:val="00117A9B"/>
    <w:rsid w:val="00117BB3"/>
    <w:rsid w:val="00121CC1"/>
    <w:rsid w:val="00121FCA"/>
    <w:rsid w:val="001271EC"/>
    <w:rsid w:val="001274BE"/>
    <w:rsid w:val="001274CC"/>
    <w:rsid w:val="001342E0"/>
    <w:rsid w:val="0013695B"/>
    <w:rsid w:val="00136FD7"/>
    <w:rsid w:val="00137163"/>
    <w:rsid w:val="0014189D"/>
    <w:rsid w:val="001424A3"/>
    <w:rsid w:val="001513E8"/>
    <w:rsid w:val="00161FC6"/>
    <w:rsid w:val="001634F9"/>
    <w:rsid w:val="0017335D"/>
    <w:rsid w:val="00175836"/>
    <w:rsid w:val="00176FA7"/>
    <w:rsid w:val="001830CB"/>
    <w:rsid w:val="00185700"/>
    <w:rsid w:val="00186B2C"/>
    <w:rsid w:val="00190F93"/>
    <w:rsid w:val="001972C0"/>
    <w:rsid w:val="001A0F54"/>
    <w:rsid w:val="001A49FF"/>
    <w:rsid w:val="001B02A5"/>
    <w:rsid w:val="001B0B7C"/>
    <w:rsid w:val="001B7036"/>
    <w:rsid w:val="001C074A"/>
    <w:rsid w:val="001C0B3B"/>
    <w:rsid w:val="001C2303"/>
    <w:rsid w:val="001D0BE0"/>
    <w:rsid w:val="001D7213"/>
    <w:rsid w:val="001E07C4"/>
    <w:rsid w:val="001E2F05"/>
    <w:rsid w:val="001E3594"/>
    <w:rsid w:val="001F2BCC"/>
    <w:rsid w:val="001F393B"/>
    <w:rsid w:val="001F7039"/>
    <w:rsid w:val="001F7C00"/>
    <w:rsid w:val="00201AC7"/>
    <w:rsid w:val="00206D2D"/>
    <w:rsid w:val="0021092B"/>
    <w:rsid w:val="00215241"/>
    <w:rsid w:val="00220DE0"/>
    <w:rsid w:val="00222E4C"/>
    <w:rsid w:val="00223516"/>
    <w:rsid w:val="0022467A"/>
    <w:rsid w:val="00233934"/>
    <w:rsid w:val="00233B8D"/>
    <w:rsid w:val="00244412"/>
    <w:rsid w:val="00247A8D"/>
    <w:rsid w:val="00252772"/>
    <w:rsid w:val="002601ED"/>
    <w:rsid w:val="002662A7"/>
    <w:rsid w:val="0027464B"/>
    <w:rsid w:val="00275DD2"/>
    <w:rsid w:val="002826E6"/>
    <w:rsid w:val="00283D81"/>
    <w:rsid w:val="0028626C"/>
    <w:rsid w:val="00290114"/>
    <w:rsid w:val="00293227"/>
    <w:rsid w:val="002A45AF"/>
    <w:rsid w:val="002A5C10"/>
    <w:rsid w:val="002A7BFA"/>
    <w:rsid w:val="002C2562"/>
    <w:rsid w:val="002C2EF7"/>
    <w:rsid w:val="002C2F5C"/>
    <w:rsid w:val="002C5925"/>
    <w:rsid w:val="002D041C"/>
    <w:rsid w:val="002D1FBA"/>
    <w:rsid w:val="002D753B"/>
    <w:rsid w:val="002E14AD"/>
    <w:rsid w:val="002E184B"/>
    <w:rsid w:val="002E3D62"/>
    <w:rsid w:val="002F180C"/>
    <w:rsid w:val="002F331D"/>
    <w:rsid w:val="002F402A"/>
    <w:rsid w:val="002F47FE"/>
    <w:rsid w:val="00300095"/>
    <w:rsid w:val="00303095"/>
    <w:rsid w:val="0030342B"/>
    <w:rsid w:val="00307906"/>
    <w:rsid w:val="00311A6B"/>
    <w:rsid w:val="00312B64"/>
    <w:rsid w:val="00312DC2"/>
    <w:rsid w:val="00312F38"/>
    <w:rsid w:val="00313AD0"/>
    <w:rsid w:val="00320E28"/>
    <w:rsid w:val="003212FA"/>
    <w:rsid w:val="00325898"/>
    <w:rsid w:val="003278C0"/>
    <w:rsid w:val="00327FFE"/>
    <w:rsid w:val="00330748"/>
    <w:rsid w:val="003331F5"/>
    <w:rsid w:val="00333493"/>
    <w:rsid w:val="003335D1"/>
    <w:rsid w:val="00341999"/>
    <w:rsid w:val="003426A8"/>
    <w:rsid w:val="003429E3"/>
    <w:rsid w:val="0035260C"/>
    <w:rsid w:val="00352AF7"/>
    <w:rsid w:val="00356438"/>
    <w:rsid w:val="00357274"/>
    <w:rsid w:val="003578FB"/>
    <w:rsid w:val="00360375"/>
    <w:rsid w:val="003639BB"/>
    <w:rsid w:val="0037293A"/>
    <w:rsid w:val="00380174"/>
    <w:rsid w:val="003802C4"/>
    <w:rsid w:val="00387223"/>
    <w:rsid w:val="00387F3E"/>
    <w:rsid w:val="00392173"/>
    <w:rsid w:val="00392761"/>
    <w:rsid w:val="003962BC"/>
    <w:rsid w:val="00396704"/>
    <w:rsid w:val="003971AF"/>
    <w:rsid w:val="003A1161"/>
    <w:rsid w:val="003A126D"/>
    <w:rsid w:val="003A2139"/>
    <w:rsid w:val="003A62A6"/>
    <w:rsid w:val="003A6A63"/>
    <w:rsid w:val="003B773E"/>
    <w:rsid w:val="003D15B8"/>
    <w:rsid w:val="003D1CE6"/>
    <w:rsid w:val="003D7B98"/>
    <w:rsid w:val="003E5B10"/>
    <w:rsid w:val="003F0350"/>
    <w:rsid w:val="003F07F6"/>
    <w:rsid w:val="003F59FF"/>
    <w:rsid w:val="003F62AA"/>
    <w:rsid w:val="003F7356"/>
    <w:rsid w:val="00401E3D"/>
    <w:rsid w:val="00403D06"/>
    <w:rsid w:val="0040445B"/>
    <w:rsid w:val="00410AFF"/>
    <w:rsid w:val="00410B41"/>
    <w:rsid w:val="004143B9"/>
    <w:rsid w:val="00426CA3"/>
    <w:rsid w:val="004304EC"/>
    <w:rsid w:val="00431EC3"/>
    <w:rsid w:val="00432D54"/>
    <w:rsid w:val="00433B0F"/>
    <w:rsid w:val="0043433E"/>
    <w:rsid w:val="004368CB"/>
    <w:rsid w:val="00437905"/>
    <w:rsid w:val="00440EF1"/>
    <w:rsid w:val="00440F30"/>
    <w:rsid w:val="00445BAD"/>
    <w:rsid w:val="00447E0C"/>
    <w:rsid w:val="00447FCE"/>
    <w:rsid w:val="0045297B"/>
    <w:rsid w:val="00461306"/>
    <w:rsid w:val="00461AD8"/>
    <w:rsid w:val="0046229F"/>
    <w:rsid w:val="004635DE"/>
    <w:rsid w:val="0046771E"/>
    <w:rsid w:val="00467872"/>
    <w:rsid w:val="004728BB"/>
    <w:rsid w:val="004744F3"/>
    <w:rsid w:val="00477175"/>
    <w:rsid w:val="00480F55"/>
    <w:rsid w:val="004825BD"/>
    <w:rsid w:val="00482B22"/>
    <w:rsid w:val="00483FD9"/>
    <w:rsid w:val="004855C9"/>
    <w:rsid w:val="00486A3A"/>
    <w:rsid w:val="00492A31"/>
    <w:rsid w:val="0049454D"/>
    <w:rsid w:val="0049698E"/>
    <w:rsid w:val="00496CEC"/>
    <w:rsid w:val="00496EFC"/>
    <w:rsid w:val="004A2B43"/>
    <w:rsid w:val="004A4F17"/>
    <w:rsid w:val="004A507C"/>
    <w:rsid w:val="004A5B63"/>
    <w:rsid w:val="004A6206"/>
    <w:rsid w:val="004A62F7"/>
    <w:rsid w:val="004A6BE6"/>
    <w:rsid w:val="004B1059"/>
    <w:rsid w:val="004B7B7D"/>
    <w:rsid w:val="004C0072"/>
    <w:rsid w:val="004C4FD2"/>
    <w:rsid w:val="004D2809"/>
    <w:rsid w:val="004D2D24"/>
    <w:rsid w:val="004D6627"/>
    <w:rsid w:val="004E046E"/>
    <w:rsid w:val="004E0489"/>
    <w:rsid w:val="004E2CB3"/>
    <w:rsid w:val="004E7CBD"/>
    <w:rsid w:val="004F2A3C"/>
    <w:rsid w:val="004F379B"/>
    <w:rsid w:val="005011AA"/>
    <w:rsid w:val="00501CB8"/>
    <w:rsid w:val="005037DD"/>
    <w:rsid w:val="0050412C"/>
    <w:rsid w:val="0051207F"/>
    <w:rsid w:val="0051291F"/>
    <w:rsid w:val="0051459F"/>
    <w:rsid w:val="00515FCE"/>
    <w:rsid w:val="005163A5"/>
    <w:rsid w:val="00520630"/>
    <w:rsid w:val="00522930"/>
    <w:rsid w:val="00527B66"/>
    <w:rsid w:val="0053084D"/>
    <w:rsid w:val="00531604"/>
    <w:rsid w:val="005325DB"/>
    <w:rsid w:val="00534A6F"/>
    <w:rsid w:val="00536600"/>
    <w:rsid w:val="0053728B"/>
    <w:rsid w:val="0054423A"/>
    <w:rsid w:val="00547287"/>
    <w:rsid w:val="005533B7"/>
    <w:rsid w:val="00557569"/>
    <w:rsid w:val="005670CC"/>
    <w:rsid w:val="00567196"/>
    <w:rsid w:val="0057231A"/>
    <w:rsid w:val="00574DF7"/>
    <w:rsid w:val="00575C75"/>
    <w:rsid w:val="00584D23"/>
    <w:rsid w:val="00586FFA"/>
    <w:rsid w:val="00590CB7"/>
    <w:rsid w:val="00596788"/>
    <w:rsid w:val="005A1D53"/>
    <w:rsid w:val="005A2187"/>
    <w:rsid w:val="005A6306"/>
    <w:rsid w:val="005A78BE"/>
    <w:rsid w:val="005A7F31"/>
    <w:rsid w:val="005B0F76"/>
    <w:rsid w:val="005B416D"/>
    <w:rsid w:val="005B43F7"/>
    <w:rsid w:val="005B549A"/>
    <w:rsid w:val="005B620C"/>
    <w:rsid w:val="005B7F5D"/>
    <w:rsid w:val="005C1633"/>
    <w:rsid w:val="005C558D"/>
    <w:rsid w:val="005C7BA0"/>
    <w:rsid w:val="005D5D5B"/>
    <w:rsid w:val="005E338D"/>
    <w:rsid w:val="005E5F10"/>
    <w:rsid w:val="005E604C"/>
    <w:rsid w:val="005F15B6"/>
    <w:rsid w:val="005F22E5"/>
    <w:rsid w:val="005F5D2D"/>
    <w:rsid w:val="00603560"/>
    <w:rsid w:val="00604DBC"/>
    <w:rsid w:val="00607D60"/>
    <w:rsid w:val="00615D4B"/>
    <w:rsid w:val="00624F85"/>
    <w:rsid w:val="006269CC"/>
    <w:rsid w:val="00631BA2"/>
    <w:rsid w:val="00632D25"/>
    <w:rsid w:val="006333DA"/>
    <w:rsid w:val="00634F4F"/>
    <w:rsid w:val="006351AF"/>
    <w:rsid w:val="00637077"/>
    <w:rsid w:val="00640414"/>
    <w:rsid w:val="00640CBD"/>
    <w:rsid w:val="0064271C"/>
    <w:rsid w:val="006445A0"/>
    <w:rsid w:val="0064566A"/>
    <w:rsid w:val="00645713"/>
    <w:rsid w:val="00645EBC"/>
    <w:rsid w:val="00646E9D"/>
    <w:rsid w:val="0064774F"/>
    <w:rsid w:val="00653452"/>
    <w:rsid w:val="0065356C"/>
    <w:rsid w:val="00660E38"/>
    <w:rsid w:val="00664006"/>
    <w:rsid w:val="00666324"/>
    <w:rsid w:val="00672B7D"/>
    <w:rsid w:val="006731F3"/>
    <w:rsid w:val="006765D7"/>
    <w:rsid w:val="006848C9"/>
    <w:rsid w:val="00685D44"/>
    <w:rsid w:val="00687012"/>
    <w:rsid w:val="00696EBC"/>
    <w:rsid w:val="006A0B1D"/>
    <w:rsid w:val="006A0B7B"/>
    <w:rsid w:val="006A634C"/>
    <w:rsid w:val="006A6919"/>
    <w:rsid w:val="006A7083"/>
    <w:rsid w:val="006B3330"/>
    <w:rsid w:val="006B7E24"/>
    <w:rsid w:val="006C02ED"/>
    <w:rsid w:val="006C05F2"/>
    <w:rsid w:val="006C0E0B"/>
    <w:rsid w:val="006C1607"/>
    <w:rsid w:val="006C3FFE"/>
    <w:rsid w:val="006D3D5C"/>
    <w:rsid w:val="006D46F1"/>
    <w:rsid w:val="006D5941"/>
    <w:rsid w:val="006E1DAB"/>
    <w:rsid w:val="006E2CDB"/>
    <w:rsid w:val="006E4831"/>
    <w:rsid w:val="006E4B7F"/>
    <w:rsid w:val="006E59A5"/>
    <w:rsid w:val="006E643D"/>
    <w:rsid w:val="006E71B0"/>
    <w:rsid w:val="007014EF"/>
    <w:rsid w:val="00706BDA"/>
    <w:rsid w:val="00707AD8"/>
    <w:rsid w:val="00707ED5"/>
    <w:rsid w:val="0071602D"/>
    <w:rsid w:val="00721B16"/>
    <w:rsid w:val="00723323"/>
    <w:rsid w:val="00724405"/>
    <w:rsid w:val="00726B9B"/>
    <w:rsid w:val="00734D01"/>
    <w:rsid w:val="00741DF9"/>
    <w:rsid w:val="0074301F"/>
    <w:rsid w:val="007431A4"/>
    <w:rsid w:val="00744F48"/>
    <w:rsid w:val="00747BE7"/>
    <w:rsid w:val="00751A76"/>
    <w:rsid w:val="007544AC"/>
    <w:rsid w:val="00756964"/>
    <w:rsid w:val="00757912"/>
    <w:rsid w:val="0076197C"/>
    <w:rsid w:val="00762468"/>
    <w:rsid w:val="007650D6"/>
    <w:rsid w:val="00765201"/>
    <w:rsid w:val="00773709"/>
    <w:rsid w:val="007815D0"/>
    <w:rsid w:val="007876A7"/>
    <w:rsid w:val="00792664"/>
    <w:rsid w:val="007A6ECB"/>
    <w:rsid w:val="007A70CB"/>
    <w:rsid w:val="007B150F"/>
    <w:rsid w:val="007B4082"/>
    <w:rsid w:val="007B65C8"/>
    <w:rsid w:val="007C18BF"/>
    <w:rsid w:val="007C1B84"/>
    <w:rsid w:val="007C280C"/>
    <w:rsid w:val="007C6F0F"/>
    <w:rsid w:val="007D1C1F"/>
    <w:rsid w:val="007E0BB1"/>
    <w:rsid w:val="007E1646"/>
    <w:rsid w:val="007E3B07"/>
    <w:rsid w:val="007F12BD"/>
    <w:rsid w:val="007F26A7"/>
    <w:rsid w:val="007F7DF7"/>
    <w:rsid w:val="007F7F61"/>
    <w:rsid w:val="0080069B"/>
    <w:rsid w:val="0080129B"/>
    <w:rsid w:val="00801831"/>
    <w:rsid w:val="00803B69"/>
    <w:rsid w:val="00804AB9"/>
    <w:rsid w:val="008051F5"/>
    <w:rsid w:val="00810B56"/>
    <w:rsid w:val="00816A88"/>
    <w:rsid w:val="00822089"/>
    <w:rsid w:val="008305FF"/>
    <w:rsid w:val="00834380"/>
    <w:rsid w:val="00835767"/>
    <w:rsid w:val="00837B43"/>
    <w:rsid w:val="00841579"/>
    <w:rsid w:val="00842CB2"/>
    <w:rsid w:val="00842F17"/>
    <w:rsid w:val="008438BC"/>
    <w:rsid w:val="00860FE3"/>
    <w:rsid w:val="00861117"/>
    <w:rsid w:val="00866DEE"/>
    <w:rsid w:val="00870027"/>
    <w:rsid w:val="00875F0B"/>
    <w:rsid w:val="00886CB5"/>
    <w:rsid w:val="008911B8"/>
    <w:rsid w:val="008916BA"/>
    <w:rsid w:val="008917A5"/>
    <w:rsid w:val="00891DD4"/>
    <w:rsid w:val="0089292A"/>
    <w:rsid w:val="00892F52"/>
    <w:rsid w:val="00893CEC"/>
    <w:rsid w:val="0089727A"/>
    <w:rsid w:val="008A0372"/>
    <w:rsid w:val="008A0E14"/>
    <w:rsid w:val="008A7ACF"/>
    <w:rsid w:val="008B1BEE"/>
    <w:rsid w:val="008B5566"/>
    <w:rsid w:val="008C1823"/>
    <w:rsid w:val="008C41A8"/>
    <w:rsid w:val="008C6C81"/>
    <w:rsid w:val="008D0C9D"/>
    <w:rsid w:val="008D35B3"/>
    <w:rsid w:val="008D42B5"/>
    <w:rsid w:val="008E1175"/>
    <w:rsid w:val="008E4394"/>
    <w:rsid w:val="008E5B9F"/>
    <w:rsid w:val="008F31D6"/>
    <w:rsid w:val="00900EDE"/>
    <w:rsid w:val="00907A3B"/>
    <w:rsid w:val="00910569"/>
    <w:rsid w:val="00910601"/>
    <w:rsid w:val="00911BD9"/>
    <w:rsid w:val="00916141"/>
    <w:rsid w:val="009168DE"/>
    <w:rsid w:val="0091746F"/>
    <w:rsid w:val="0092022D"/>
    <w:rsid w:val="0092480D"/>
    <w:rsid w:val="00924BB9"/>
    <w:rsid w:val="009315A3"/>
    <w:rsid w:val="0093192E"/>
    <w:rsid w:val="00934A50"/>
    <w:rsid w:val="00937BCF"/>
    <w:rsid w:val="00937D87"/>
    <w:rsid w:val="009428BB"/>
    <w:rsid w:val="0094513E"/>
    <w:rsid w:val="00945D1E"/>
    <w:rsid w:val="00956A3A"/>
    <w:rsid w:val="0096390C"/>
    <w:rsid w:val="009661DD"/>
    <w:rsid w:val="00973225"/>
    <w:rsid w:val="00976DF0"/>
    <w:rsid w:val="00984C98"/>
    <w:rsid w:val="00986A58"/>
    <w:rsid w:val="009912BD"/>
    <w:rsid w:val="00991FFE"/>
    <w:rsid w:val="00992954"/>
    <w:rsid w:val="009947C3"/>
    <w:rsid w:val="00994ACF"/>
    <w:rsid w:val="00994C72"/>
    <w:rsid w:val="009A3278"/>
    <w:rsid w:val="009A3458"/>
    <w:rsid w:val="009B0E52"/>
    <w:rsid w:val="009B24D2"/>
    <w:rsid w:val="009D32D8"/>
    <w:rsid w:val="009D4AB5"/>
    <w:rsid w:val="009D55BA"/>
    <w:rsid w:val="009D5C3C"/>
    <w:rsid w:val="009D67C0"/>
    <w:rsid w:val="009E17EB"/>
    <w:rsid w:val="009E1F0F"/>
    <w:rsid w:val="009E2410"/>
    <w:rsid w:val="009E47FE"/>
    <w:rsid w:val="009F062E"/>
    <w:rsid w:val="009F191F"/>
    <w:rsid w:val="009F39FB"/>
    <w:rsid w:val="009F4E3F"/>
    <w:rsid w:val="00A00C66"/>
    <w:rsid w:val="00A028B2"/>
    <w:rsid w:val="00A03DB9"/>
    <w:rsid w:val="00A058E5"/>
    <w:rsid w:val="00A12991"/>
    <w:rsid w:val="00A12E46"/>
    <w:rsid w:val="00A1693E"/>
    <w:rsid w:val="00A17559"/>
    <w:rsid w:val="00A209C7"/>
    <w:rsid w:val="00A238A0"/>
    <w:rsid w:val="00A247FD"/>
    <w:rsid w:val="00A2771A"/>
    <w:rsid w:val="00A30872"/>
    <w:rsid w:val="00A31244"/>
    <w:rsid w:val="00A34361"/>
    <w:rsid w:val="00A35547"/>
    <w:rsid w:val="00A3661B"/>
    <w:rsid w:val="00A367FB"/>
    <w:rsid w:val="00A437B5"/>
    <w:rsid w:val="00A44365"/>
    <w:rsid w:val="00A455AD"/>
    <w:rsid w:val="00A46E99"/>
    <w:rsid w:val="00A50F74"/>
    <w:rsid w:val="00A5170A"/>
    <w:rsid w:val="00A5604F"/>
    <w:rsid w:val="00A566A7"/>
    <w:rsid w:val="00A66CEC"/>
    <w:rsid w:val="00A7206E"/>
    <w:rsid w:val="00A75477"/>
    <w:rsid w:val="00A77BC1"/>
    <w:rsid w:val="00A8032B"/>
    <w:rsid w:val="00A803B9"/>
    <w:rsid w:val="00A82A45"/>
    <w:rsid w:val="00A87122"/>
    <w:rsid w:val="00A9116B"/>
    <w:rsid w:val="00AA185E"/>
    <w:rsid w:val="00AA22E4"/>
    <w:rsid w:val="00AB38F5"/>
    <w:rsid w:val="00AB6821"/>
    <w:rsid w:val="00AD0666"/>
    <w:rsid w:val="00AD33BC"/>
    <w:rsid w:val="00AD6A24"/>
    <w:rsid w:val="00AD7C40"/>
    <w:rsid w:val="00AE1422"/>
    <w:rsid w:val="00AE574D"/>
    <w:rsid w:val="00AF0423"/>
    <w:rsid w:val="00AF1279"/>
    <w:rsid w:val="00AF3A94"/>
    <w:rsid w:val="00AF3B96"/>
    <w:rsid w:val="00AF56EE"/>
    <w:rsid w:val="00B01C5D"/>
    <w:rsid w:val="00B03DA5"/>
    <w:rsid w:val="00B0780A"/>
    <w:rsid w:val="00B11642"/>
    <w:rsid w:val="00B1527B"/>
    <w:rsid w:val="00B24799"/>
    <w:rsid w:val="00B24AE7"/>
    <w:rsid w:val="00B25FD8"/>
    <w:rsid w:val="00B26A6F"/>
    <w:rsid w:val="00B32894"/>
    <w:rsid w:val="00B331E1"/>
    <w:rsid w:val="00B34643"/>
    <w:rsid w:val="00B34FBD"/>
    <w:rsid w:val="00B36AAB"/>
    <w:rsid w:val="00B4378F"/>
    <w:rsid w:val="00B44885"/>
    <w:rsid w:val="00B44E54"/>
    <w:rsid w:val="00B557D5"/>
    <w:rsid w:val="00B57857"/>
    <w:rsid w:val="00B63A98"/>
    <w:rsid w:val="00B64467"/>
    <w:rsid w:val="00B71F17"/>
    <w:rsid w:val="00B7684F"/>
    <w:rsid w:val="00B770FA"/>
    <w:rsid w:val="00B800A9"/>
    <w:rsid w:val="00B9007A"/>
    <w:rsid w:val="00B91989"/>
    <w:rsid w:val="00B96388"/>
    <w:rsid w:val="00BA1970"/>
    <w:rsid w:val="00BA416B"/>
    <w:rsid w:val="00BB2BE8"/>
    <w:rsid w:val="00BB46A8"/>
    <w:rsid w:val="00BB5087"/>
    <w:rsid w:val="00BB6CFA"/>
    <w:rsid w:val="00BB740E"/>
    <w:rsid w:val="00BC582B"/>
    <w:rsid w:val="00BD34C8"/>
    <w:rsid w:val="00BD40FF"/>
    <w:rsid w:val="00BD4AEE"/>
    <w:rsid w:val="00BE18D2"/>
    <w:rsid w:val="00BE49A2"/>
    <w:rsid w:val="00BE4ED8"/>
    <w:rsid w:val="00BE55CB"/>
    <w:rsid w:val="00BF32AD"/>
    <w:rsid w:val="00BF5E9C"/>
    <w:rsid w:val="00BF626B"/>
    <w:rsid w:val="00C03480"/>
    <w:rsid w:val="00C040A0"/>
    <w:rsid w:val="00C05319"/>
    <w:rsid w:val="00C10A74"/>
    <w:rsid w:val="00C13D6A"/>
    <w:rsid w:val="00C13EA4"/>
    <w:rsid w:val="00C15447"/>
    <w:rsid w:val="00C15448"/>
    <w:rsid w:val="00C158B8"/>
    <w:rsid w:val="00C201ED"/>
    <w:rsid w:val="00C21A74"/>
    <w:rsid w:val="00C232A6"/>
    <w:rsid w:val="00C2572B"/>
    <w:rsid w:val="00C25F9D"/>
    <w:rsid w:val="00C26B28"/>
    <w:rsid w:val="00C26E8A"/>
    <w:rsid w:val="00C274C1"/>
    <w:rsid w:val="00C30676"/>
    <w:rsid w:val="00C4094C"/>
    <w:rsid w:val="00C4252D"/>
    <w:rsid w:val="00C51E7E"/>
    <w:rsid w:val="00C56F4D"/>
    <w:rsid w:val="00C613A3"/>
    <w:rsid w:val="00C62DC2"/>
    <w:rsid w:val="00C64373"/>
    <w:rsid w:val="00C67652"/>
    <w:rsid w:val="00C725D7"/>
    <w:rsid w:val="00C800D4"/>
    <w:rsid w:val="00C804C1"/>
    <w:rsid w:val="00C82372"/>
    <w:rsid w:val="00C875EB"/>
    <w:rsid w:val="00C91D20"/>
    <w:rsid w:val="00C9456A"/>
    <w:rsid w:val="00C9668C"/>
    <w:rsid w:val="00CA105A"/>
    <w:rsid w:val="00CA3363"/>
    <w:rsid w:val="00CB70DB"/>
    <w:rsid w:val="00CC05B4"/>
    <w:rsid w:val="00CC33E6"/>
    <w:rsid w:val="00CD087F"/>
    <w:rsid w:val="00CD0D0D"/>
    <w:rsid w:val="00CD101E"/>
    <w:rsid w:val="00CD56CD"/>
    <w:rsid w:val="00CE0689"/>
    <w:rsid w:val="00CE6771"/>
    <w:rsid w:val="00CE7C35"/>
    <w:rsid w:val="00D03F76"/>
    <w:rsid w:val="00D07382"/>
    <w:rsid w:val="00D11402"/>
    <w:rsid w:val="00D13841"/>
    <w:rsid w:val="00D149E8"/>
    <w:rsid w:val="00D14B1A"/>
    <w:rsid w:val="00D166F7"/>
    <w:rsid w:val="00D24FF4"/>
    <w:rsid w:val="00D26BE6"/>
    <w:rsid w:val="00D2712A"/>
    <w:rsid w:val="00D31392"/>
    <w:rsid w:val="00D42E44"/>
    <w:rsid w:val="00D46B06"/>
    <w:rsid w:val="00D55C87"/>
    <w:rsid w:val="00D66AC2"/>
    <w:rsid w:val="00D7101A"/>
    <w:rsid w:val="00D72071"/>
    <w:rsid w:val="00D743FA"/>
    <w:rsid w:val="00D75267"/>
    <w:rsid w:val="00D76298"/>
    <w:rsid w:val="00D83459"/>
    <w:rsid w:val="00D87D54"/>
    <w:rsid w:val="00D87E21"/>
    <w:rsid w:val="00D90111"/>
    <w:rsid w:val="00D94892"/>
    <w:rsid w:val="00D94DA7"/>
    <w:rsid w:val="00DA10B4"/>
    <w:rsid w:val="00DA6D97"/>
    <w:rsid w:val="00DB22A3"/>
    <w:rsid w:val="00DB4783"/>
    <w:rsid w:val="00DB5CA9"/>
    <w:rsid w:val="00DC5A72"/>
    <w:rsid w:val="00DC6520"/>
    <w:rsid w:val="00DC6CC3"/>
    <w:rsid w:val="00DD051E"/>
    <w:rsid w:val="00DD0F38"/>
    <w:rsid w:val="00DD22AD"/>
    <w:rsid w:val="00DD45D7"/>
    <w:rsid w:val="00DD779C"/>
    <w:rsid w:val="00DE0712"/>
    <w:rsid w:val="00DE36E4"/>
    <w:rsid w:val="00DE5E50"/>
    <w:rsid w:val="00DE62B8"/>
    <w:rsid w:val="00DF2CE0"/>
    <w:rsid w:val="00DF2D37"/>
    <w:rsid w:val="00E01039"/>
    <w:rsid w:val="00E02C21"/>
    <w:rsid w:val="00E05B9F"/>
    <w:rsid w:val="00E06259"/>
    <w:rsid w:val="00E10141"/>
    <w:rsid w:val="00E10638"/>
    <w:rsid w:val="00E11618"/>
    <w:rsid w:val="00E1178F"/>
    <w:rsid w:val="00E167D3"/>
    <w:rsid w:val="00E238A6"/>
    <w:rsid w:val="00E3132F"/>
    <w:rsid w:val="00E3293B"/>
    <w:rsid w:val="00E32B02"/>
    <w:rsid w:val="00E345EB"/>
    <w:rsid w:val="00E35C63"/>
    <w:rsid w:val="00E44F5A"/>
    <w:rsid w:val="00E45229"/>
    <w:rsid w:val="00E452E9"/>
    <w:rsid w:val="00E458F5"/>
    <w:rsid w:val="00E4710E"/>
    <w:rsid w:val="00E50F23"/>
    <w:rsid w:val="00E53A30"/>
    <w:rsid w:val="00E55717"/>
    <w:rsid w:val="00E55A28"/>
    <w:rsid w:val="00E56EF1"/>
    <w:rsid w:val="00E5707C"/>
    <w:rsid w:val="00E63CBA"/>
    <w:rsid w:val="00E6635A"/>
    <w:rsid w:val="00E67C74"/>
    <w:rsid w:val="00E7024E"/>
    <w:rsid w:val="00E71BDC"/>
    <w:rsid w:val="00E72967"/>
    <w:rsid w:val="00E7739D"/>
    <w:rsid w:val="00E77DD7"/>
    <w:rsid w:val="00E830BD"/>
    <w:rsid w:val="00E903EB"/>
    <w:rsid w:val="00E92310"/>
    <w:rsid w:val="00E949A4"/>
    <w:rsid w:val="00E955D2"/>
    <w:rsid w:val="00E97179"/>
    <w:rsid w:val="00EA0AC7"/>
    <w:rsid w:val="00EA13DF"/>
    <w:rsid w:val="00EA3382"/>
    <w:rsid w:val="00EA6DE0"/>
    <w:rsid w:val="00EB0E32"/>
    <w:rsid w:val="00EC09C4"/>
    <w:rsid w:val="00EC1A02"/>
    <w:rsid w:val="00EC683B"/>
    <w:rsid w:val="00EC750E"/>
    <w:rsid w:val="00ED18C6"/>
    <w:rsid w:val="00ED4ADA"/>
    <w:rsid w:val="00ED5590"/>
    <w:rsid w:val="00EE2BF5"/>
    <w:rsid w:val="00EE558F"/>
    <w:rsid w:val="00EE5641"/>
    <w:rsid w:val="00EE6444"/>
    <w:rsid w:val="00EE6CB9"/>
    <w:rsid w:val="00EE734D"/>
    <w:rsid w:val="00EF011A"/>
    <w:rsid w:val="00EF2291"/>
    <w:rsid w:val="00EF2F88"/>
    <w:rsid w:val="00EF3B80"/>
    <w:rsid w:val="00EF3FCF"/>
    <w:rsid w:val="00EF5DF7"/>
    <w:rsid w:val="00F02F55"/>
    <w:rsid w:val="00F04199"/>
    <w:rsid w:val="00F076B9"/>
    <w:rsid w:val="00F107B5"/>
    <w:rsid w:val="00F15424"/>
    <w:rsid w:val="00F1712E"/>
    <w:rsid w:val="00F17A22"/>
    <w:rsid w:val="00F2186E"/>
    <w:rsid w:val="00F26591"/>
    <w:rsid w:val="00F30823"/>
    <w:rsid w:val="00F30E33"/>
    <w:rsid w:val="00F32EB0"/>
    <w:rsid w:val="00F37603"/>
    <w:rsid w:val="00F4240A"/>
    <w:rsid w:val="00F43A08"/>
    <w:rsid w:val="00F43F06"/>
    <w:rsid w:val="00F56DB3"/>
    <w:rsid w:val="00F57AD1"/>
    <w:rsid w:val="00F647C2"/>
    <w:rsid w:val="00F656E7"/>
    <w:rsid w:val="00F6718C"/>
    <w:rsid w:val="00F71D1A"/>
    <w:rsid w:val="00F726C1"/>
    <w:rsid w:val="00F73075"/>
    <w:rsid w:val="00F75C49"/>
    <w:rsid w:val="00F75E75"/>
    <w:rsid w:val="00F76AE7"/>
    <w:rsid w:val="00F7717C"/>
    <w:rsid w:val="00F7736B"/>
    <w:rsid w:val="00F84EE5"/>
    <w:rsid w:val="00F87B34"/>
    <w:rsid w:val="00F90469"/>
    <w:rsid w:val="00F942A4"/>
    <w:rsid w:val="00FA117D"/>
    <w:rsid w:val="00FB1EBA"/>
    <w:rsid w:val="00FB2384"/>
    <w:rsid w:val="00FB5752"/>
    <w:rsid w:val="00FB6D4D"/>
    <w:rsid w:val="00FB7729"/>
    <w:rsid w:val="00FC622B"/>
    <w:rsid w:val="00FC724D"/>
    <w:rsid w:val="00FD0B4D"/>
    <w:rsid w:val="00FD14C5"/>
    <w:rsid w:val="00FD305A"/>
    <w:rsid w:val="00FD6EAB"/>
    <w:rsid w:val="00FE40F5"/>
    <w:rsid w:val="00FF1E6F"/>
    <w:rsid w:val="00FF1EFE"/>
    <w:rsid w:val="00FF20FF"/>
    <w:rsid w:val="00FF6520"/>
    <w:rsid w:val="0A9A0D61"/>
    <w:rsid w:val="0D385170"/>
    <w:rsid w:val="173B3332"/>
    <w:rsid w:val="19A73C6E"/>
    <w:rsid w:val="19B7374F"/>
    <w:rsid w:val="26796E76"/>
    <w:rsid w:val="29391461"/>
    <w:rsid w:val="324B446F"/>
    <w:rsid w:val="3FE40159"/>
    <w:rsid w:val="47476810"/>
    <w:rsid w:val="4835573A"/>
    <w:rsid w:val="49F6625B"/>
    <w:rsid w:val="4CD61E78"/>
    <w:rsid w:val="4EAA5D8D"/>
    <w:rsid w:val="589244D8"/>
    <w:rsid w:val="645F2BE3"/>
    <w:rsid w:val="6E2D1508"/>
    <w:rsid w:val="6E4B5607"/>
    <w:rsid w:val="702341E9"/>
    <w:rsid w:val="7D663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jc w:val="center"/>
      <w:outlineLvl w:val="0"/>
    </w:pPr>
    <w:rPr>
      <w:rFonts w:eastAsia="黑体"/>
      <w:b/>
      <w:bCs/>
      <w:kern w:val="44"/>
      <w:sz w:val="36"/>
      <w:szCs w:val="44"/>
    </w:rPr>
  </w:style>
  <w:style w:type="paragraph" w:styleId="3">
    <w:name w:val="heading 2"/>
    <w:basedOn w:val="1"/>
    <w:next w:val="1"/>
    <w:link w:val="51"/>
    <w:unhideWhenUsed/>
    <w:qFormat/>
    <w:uiPriority w:val="0"/>
    <w:pPr>
      <w:keepNext/>
      <w:keepLines/>
      <w:jc w:val="left"/>
      <w:outlineLvl w:val="1"/>
    </w:pPr>
    <w:rPr>
      <w:rFonts w:eastAsia="黑体" w:asciiTheme="majorHAnsi" w:hAnsiTheme="majorHAnsi" w:cstheme="majorBidi"/>
      <w:bCs/>
      <w:sz w:val="30"/>
      <w:szCs w:val="32"/>
    </w:rPr>
  </w:style>
  <w:style w:type="paragraph" w:styleId="4">
    <w:name w:val="heading 3"/>
    <w:basedOn w:val="1"/>
    <w:next w:val="1"/>
    <w:link w:val="52"/>
    <w:unhideWhenUsed/>
    <w:qFormat/>
    <w:uiPriority w:val="0"/>
    <w:pPr>
      <w:keepNext/>
      <w:keepLines/>
      <w:jc w:val="left"/>
      <w:outlineLvl w:val="2"/>
    </w:pPr>
    <w:rPr>
      <w:rFonts w:eastAsia="黑体"/>
      <w:bCs/>
      <w:sz w:val="28"/>
      <w:szCs w:val="32"/>
    </w:rPr>
  </w:style>
  <w:style w:type="paragraph" w:styleId="5">
    <w:name w:val="heading 4"/>
    <w:basedOn w:val="1"/>
    <w:next w:val="1"/>
    <w:link w:val="53"/>
    <w:unhideWhenUsed/>
    <w:qFormat/>
    <w:uiPriority w:val="0"/>
    <w:pPr>
      <w:keepNext/>
      <w:keepLines/>
      <w:spacing w:beforeLines="30" w:afterLines="30"/>
      <w:jc w:val="left"/>
      <w:outlineLvl w:val="3"/>
    </w:pPr>
    <w:rPr>
      <w:rFonts w:eastAsia="黑体" w:cstheme="majorBidi"/>
      <w:bCs/>
      <w:sz w:val="24"/>
      <w:szCs w:val="28"/>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caption"/>
    <w:basedOn w:val="1"/>
    <w:next w:val="1"/>
    <w:link w:val="117"/>
    <w:unhideWhenUsed/>
    <w:qFormat/>
    <w:uiPriority w:val="0"/>
    <w:rPr>
      <w:rFonts w:ascii="Cambria" w:hAnsi="Cambria" w:eastAsia="黑体"/>
      <w:sz w:val="20"/>
      <w:szCs w:val="20"/>
    </w:rPr>
  </w:style>
  <w:style w:type="paragraph" w:styleId="8">
    <w:name w:val="Document Map"/>
    <w:basedOn w:val="1"/>
    <w:link w:val="70"/>
    <w:semiHidden/>
    <w:qFormat/>
    <w:uiPriority w:val="0"/>
    <w:pPr>
      <w:shd w:val="clear" w:color="auto" w:fill="000080"/>
    </w:pPr>
    <w:rPr>
      <w:rFonts w:ascii="Times" w:hAnsi="Times"/>
    </w:rPr>
  </w:style>
  <w:style w:type="paragraph" w:styleId="9">
    <w:name w:val="annotation text"/>
    <w:basedOn w:val="1"/>
    <w:link w:val="65"/>
    <w:unhideWhenUsed/>
    <w:qFormat/>
    <w:uiPriority w:val="0"/>
    <w:pPr>
      <w:jc w:val="left"/>
    </w:pPr>
  </w:style>
  <w:style w:type="paragraph" w:styleId="10">
    <w:name w:val="Body Text"/>
    <w:basedOn w:val="1"/>
    <w:link w:val="62"/>
    <w:unhideWhenUsed/>
    <w:qFormat/>
    <w:uiPriority w:val="1"/>
    <w:pPr>
      <w:spacing w:after="120"/>
    </w:pPr>
  </w:style>
  <w:style w:type="paragraph" w:styleId="11">
    <w:name w:val="Body Text Indent"/>
    <w:basedOn w:val="1"/>
    <w:link w:val="95"/>
    <w:qFormat/>
    <w:uiPriority w:val="0"/>
    <w:pPr>
      <w:spacing w:after="120"/>
      <w:ind w:left="420" w:leftChars="200"/>
    </w:pPr>
    <w:rPr>
      <w:kern w:val="0"/>
      <w:sz w:val="20"/>
    </w:rPr>
  </w:style>
  <w:style w:type="paragraph" w:styleId="12">
    <w:name w:val="Block Text"/>
    <w:basedOn w:val="1"/>
    <w:qFormat/>
    <w:uiPriority w:val="0"/>
    <w:pPr>
      <w:autoSpaceDE w:val="0"/>
      <w:autoSpaceDN w:val="0"/>
      <w:ind w:left="180" w:leftChars="89" w:right="224" w:firstLine="404" w:firstLineChars="200"/>
    </w:pPr>
    <w:rPr>
      <w:szCs w:val="20"/>
    </w:r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15">
    <w:name w:val="Plain Text"/>
    <w:basedOn w:val="1"/>
    <w:link w:val="69"/>
    <w:qFormat/>
    <w:uiPriority w:val="0"/>
    <w:rPr>
      <w:rFonts w:ascii="宋体" w:hAnsi="Courier New" w:cs="Courier New"/>
      <w:szCs w:val="21"/>
    </w:rPr>
  </w:style>
  <w:style w:type="paragraph" w:styleId="16">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7">
    <w:name w:val="Date"/>
    <w:basedOn w:val="1"/>
    <w:next w:val="1"/>
    <w:link w:val="67"/>
    <w:qFormat/>
    <w:uiPriority w:val="0"/>
    <w:pPr>
      <w:ind w:left="100" w:leftChars="2500"/>
    </w:pPr>
    <w:rPr>
      <w:rFonts w:ascii="Times" w:hAnsi="Times"/>
    </w:rPr>
  </w:style>
  <w:style w:type="paragraph" w:styleId="18">
    <w:name w:val="Body Text Indent 2"/>
    <w:basedOn w:val="1"/>
    <w:link w:val="94"/>
    <w:qFormat/>
    <w:uiPriority w:val="0"/>
    <w:pPr>
      <w:spacing w:after="120" w:line="480" w:lineRule="auto"/>
      <w:ind w:left="420" w:leftChars="200"/>
    </w:pPr>
  </w:style>
  <w:style w:type="paragraph" w:styleId="19">
    <w:name w:val="Balloon Text"/>
    <w:basedOn w:val="1"/>
    <w:link w:val="63"/>
    <w:unhideWhenUsed/>
    <w:qFormat/>
    <w:uiPriority w:val="99"/>
    <w:rPr>
      <w:rFonts w:asciiTheme="minorHAnsi" w:hAnsiTheme="minorHAnsi" w:eastAsiaTheme="minorEastAsia" w:cstheme="minorBidi"/>
      <w:sz w:val="18"/>
      <w:szCs w:val="18"/>
    </w:rPr>
  </w:style>
  <w:style w:type="paragraph" w:styleId="20">
    <w:name w:val="footer"/>
    <w:basedOn w:val="1"/>
    <w:link w:val="5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2">
    <w:name w:val="toc 1"/>
    <w:basedOn w:val="1"/>
    <w:next w:val="1"/>
    <w:unhideWhenUsed/>
    <w:qFormat/>
    <w:uiPriority w:val="39"/>
    <w:pPr>
      <w:tabs>
        <w:tab w:val="right" w:leader="dot" w:pos="8302"/>
      </w:tabs>
      <w:jc w:val="center"/>
    </w:pPr>
    <w:rPr>
      <w:rFonts w:ascii="黑体" w:eastAsia="黑体"/>
    </w:rPr>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Subtitle"/>
    <w:basedOn w:val="1"/>
    <w:next w:val="1"/>
    <w:link w:val="93"/>
    <w:qFormat/>
    <w:uiPriority w:val="0"/>
    <w:pPr>
      <w:ind w:firstLine="200" w:firstLineChars="200"/>
      <w:outlineLvl w:val="1"/>
    </w:pPr>
    <w:rPr>
      <w:rFonts w:eastAsia="黑体"/>
      <w:bCs/>
      <w:kern w:val="28"/>
      <w:sz w:val="24"/>
      <w:szCs w:val="32"/>
    </w:rPr>
  </w:style>
  <w:style w:type="paragraph" w:styleId="25">
    <w:name w:val="footnote text"/>
    <w:basedOn w:val="1"/>
    <w:link w:val="122"/>
    <w:qFormat/>
    <w:uiPriority w:val="99"/>
    <w:pPr>
      <w:snapToGrid w:val="0"/>
      <w:spacing w:line="360" w:lineRule="auto"/>
      <w:jc w:val="left"/>
    </w:pPr>
    <w:rPr>
      <w:sz w:val="18"/>
      <w:szCs w:val="18"/>
    </w:rPr>
  </w:style>
  <w:style w:type="paragraph" w:styleId="2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7">
    <w:name w:val="Body Text Indent 3"/>
    <w:basedOn w:val="1"/>
    <w:link w:val="129"/>
    <w:qFormat/>
    <w:uiPriority w:val="0"/>
    <w:pPr>
      <w:spacing w:after="120"/>
      <w:ind w:left="420" w:leftChars="200"/>
    </w:pPr>
    <w:rPr>
      <w:sz w:val="16"/>
      <w:szCs w:val="16"/>
    </w:rPr>
  </w:style>
  <w:style w:type="paragraph" w:styleId="28">
    <w:name w:val="toc 2"/>
    <w:basedOn w:val="1"/>
    <w:next w:val="1"/>
    <w:unhideWhenUsed/>
    <w:qFormat/>
    <w:uiPriority w:val="39"/>
    <w:pPr>
      <w:tabs>
        <w:tab w:val="right" w:leader="dot" w:pos="8302"/>
      </w:tabs>
      <w:ind w:left="420" w:leftChars="200"/>
    </w:pPr>
  </w:style>
  <w:style w:type="paragraph" w:styleId="29">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0">
    <w:name w:val="HTML Preformatted"/>
    <w:basedOn w:val="1"/>
    <w:link w:val="7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7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92"/>
    <w:qFormat/>
    <w:uiPriority w:val="10"/>
    <w:pPr>
      <w:ind w:firstLine="200" w:firstLineChars="200"/>
      <w:outlineLvl w:val="0"/>
    </w:pPr>
    <w:rPr>
      <w:rFonts w:ascii="Cambria" w:hAnsi="Cambria" w:eastAsia="黑体"/>
      <w:bCs/>
      <w:sz w:val="30"/>
      <w:szCs w:val="32"/>
    </w:rPr>
  </w:style>
  <w:style w:type="paragraph" w:styleId="33">
    <w:name w:val="annotation subject"/>
    <w:basedOn w:val="9"/>
    <w:next w:val="9"/>
    <w:link w:val="66"/>
    <w:qFormat/>
    <w:uiPriority w:val="0"/>
    <w:rPr>
      <w:rFonts w:ascii="Times" w:hAnsi="Times"/>
      <w:b/>
      <w:bCs/>
    </w:rPr>
  </w:style>
  <w:style w:type="table" w:styleId="35">
    <w:name w:val="Table Grid"/>
    <w:basedOn w:val="3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6">
    <w:name w:val="Light Shading Accent 1"/>
    <w:basedOn w:val="34"/>
    <w:qFormat/>
    <w:uiPriority w:val="60"/>
    <w:rPr>
      <w:color w:val="376092" w:themeColor="accent1" w:themeShade="BF"/>
      <w:sz w:val="22"/>
      <w:szCs w:val="22"/>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99"/>
    <w:rPr>
      <w:rFonts w:cs="Times New Roman"/>
      <w:color w:val="1E1E1E"/>
      <w:u w:val="none"/>
    </w:rPr>
  </w:style>
  <w:style w:type="character" w:styleId="41">
    <w:name w:val="Emphasis"/>
    <w:qFormat/>
    <w:uiPriority w:val="0"/>
    <w:rPr>
      <w:color w:val="CC0000"/>
    </w:rPr>
  </w:style>
  <w:style w:type="character" w:styleId="42">
    <w:name w:val="HTML Definition"/>
    <w:basedOn w:val="37"/>
    <w:qFormat/>
    <w:uiPriority w:val="0"/>
    <w:rPr>
      <w:i/>
    </w:rPr>
  </w:style>
  <w:style w:type="character" w:styleId="43">
    <w:name w:val="Hyperlink"/>
    <w:qFormat/>
    <w:uiPriority w:val="99"/>
    <w:rPr>
      <w:color w:val="0000FF"/>
      <w:u w:val="single"/>
    </w:rPr>
  </w:style>
  <w:style w:type="character" w:styleId="44">
    <w:name w:val="HTML Code"/>
    <w:basedOn w:val="37"/>
    <w:qFormat/>
    <w:uiPriority w:val="0"/>
    <w:rPr>
      <w:rFonts w:hint="default" w:ascii="Consolas" w:hAnsi="Consolas" w:eastAsia="Consolas" w:cs="Consolas"/>
      <w:color w:val="C7254E"/>
      <w:sz w:val="21"/>
      <w:szCs w:val="21"/>
      <w:shd w:val="clear" w:color="auto" w:fill="F9F2F4"/>
    </w:rPr>
  </w:style>
  <w:style w:type="character" w:styleId="45">
    <w:name w:val="annotation reference"/>
    <w:qFormat/>
    <w:uiPriority w:val="0"/>
    <w:rPr>
      <w:sz w:val="21"/>
      <w:szCs w:val="21"/>
    </w:rPr>
  </w:style>
  <w:style w:type="character" w:styleId="46">
    <w:name w:val="HTML Cite"/>
    <w:basedOn w:val="37"/>
    <w:qFormat/>
    <w:uiPriority w:val="0"/>
  </w:style>
  <w:style w:type="character" w:styleId="47">
    <w:name w:val="footnote reference"/>
    <w:qFormat/>
    <w:uiPriority w:val="0"/>
    <w:rPr>
      <w:vertAlign w:val="superscript"/>
    </w:rPr>
  </w:style>
  <w:style w:type="character" w:styleId="48">
    <w:name w:val="HTML Keyboard"/>
    <w:basedOn w:val="37"/>
    <w:qFormat/>
    <w:uiPriority w:val="0"/>
    <w:rPr>
      <w:rFonts w:hint="default" w:ascii="Consolas" w:hAnsi="Consolas" w:eastAsia="Consolas" w:cs="Consolas"/>
      <w:color w:val="FFFFFF"/>
      <w:sz w:val="21"/>
      <w:szCs w:val="21"/>
      <w:shd w:val="clear" w:color="auto" w:fill="333333"/>
    </w:rPr>
  </w:style>
  <w:style w:type="character" w:styleId="49">
    <w:name w:val="HTML Sample"/>
    <w:basedOn w:val="37"/>
    <w:qFormat/>
    <w:uiPriority w:val="0"/>
    <w:rPr>
      <w:rFonts w:ascii="Consolas" w:hAnsi="Consolas" w:eastAsia="Consolas" w:cs="Consolas"/>
      <w:sz w:val="21"/>
      <w:szCs w:val="21"/>
    </w:rPr>
  </w:style>
  <w:style w:type="character" w:customStyle="1" w:styleId="50">
    <w:name w:val="标题 1 Char"/>
    <w:basedOn w:val="37"/>
    <w:link w:val="2"/>
    <w:qFormat/>
    <w:uiPriority w:val="0"/>
    <w:rPr>
      <w:rFonts w:ascii="Times New Roman" w:hAnsi="Times New Roman" w:eastAsia="黑体" w:cs="Times New Roman"/>
      <w:b/>
      <w:bCs/>
      <w:kern w:val="44"/>
      <w:sz w:val="36"/>
      <w:szCs w:val="44"/>
    </w:rPr>
  </w:style>
  <w:style w:type="character" w:customStyle="1" w:styleId="51">
    <w:name w:val="标题 2 Char"/>
    <w:basedOn w:val="37"/>
    <w:link w:val="3"/>
    <w:qFormat/>
    <w:uiPriority w:val="0"/>
    <w:rPr>
      <w:rFonts w:eastAsia="黑体" w:asciiTheme="majorHAnsi" w:hAnsiTheme="majorHAnsi" w:cstheme="majorBidi"/>
      <w:bCs/>
      <w:sz w:val="30"/>
      <w:szCs w:val="32"/>
    </w:rPr>
  </w:style>
  <w:style w:type="character" w:customStyle="1" w:styleId="52">
    <w:name w:val="标题 3 Char"/>
    <w:basedOn w:val="37"/>
    <w:link w:val="4"/>
    <w:qFormat/>
    <w:uiPriority w:val="0"/>
    <w:rPr>
      <w:rFonts w:ascii="Times New Roman" w:hAnsi="Times New Roman" w:eastAsia="黑体" w:cs="Times New Roman"/>
      <w:bCs/>
      <w:sz w:val="28"/>
      <w:szCs w:val="32"/>
    </w:rPr>
  </w:style>
  <w:style w:type="character" w:customStyle="1" w:styleId="53">
    <w:name w:val="标题 4 Char"/>
    <w:basedOn w:val="37"/>
    <w:link w:val="5"/>
    <w:qFormat/>
    <w:uiPriority w:val="0"/>
    <w:rPr>
      <w:rFonts w:ascii="Times New Roman" w:hAnsi="Times New Roman" w:eastAsia="黑体" w:cstheme="majorBidi"/>
      <w:bCs/>
      <w:sz w:val="24"/>
      <w:szCs w:val="28"/>
    </w:rPr>
  </w:style>
  <w:style w:type="character" w:customStyle="1" w:styleId="54">
    <w:name w:val="页眉 Char"/>
    <w:basedOn w:val="37"/>
    <w:link w:val="21"/>
    <w:qFormat/>
    <w:uiPriority w:val="0"/>
    <w:rPr>
      <w:sz w:val="18"/>
      <w:szCs w:val="18"/>
    </w:rPr>
  </w:style>
  <w:style w:type="character" w:customStyle="1" w:styleId="55">
    <w:name w:val="页脚 Char"/>
    <w:basedOn w:val="37"/>
    <w:link w:val="20"/>
    <w:qFormat/>
    <w:uiPriority w:val="99"/>
    <w:rPr>
      <w:sz w:val="18"/>
      <w:szCs w:val="18"/>
    </w:rPr>
  </w:style>
  <w:style w:type="character" w:customStyle="1" w:styleId="56">
    <w:name w:val="正文文本 (2)_"/>
    <w:link w:val="57"/>
    <w:qFormat/>
    <w:uiPriority w:val="99"/>
    <w:rPr>
      <w:rFonts w:ascii="MingLiU" w:eastAsia="MingLiU" w:cs="MingLiU"/>
      <w:spacing w:val="20"/>
      <w:sz w:val="30"/>
      <w:szCs w:val="30"/>
      <w:shd w:val="clear" w:color="auto" w:fill="FFFFFF"/>
    </w:rPr>
  </w:style>
  <w:style w:type="paragraph" w:customStyle="1" w:styleId="57">
    <w:name w:val="正文文本 (2)1"/>
    <w:basedOn w:val="1"/>
    <w:link w:val="56"/>
    <w:qFormat/>
    <w:uiPriority w:val="99"/>
    <w:pPr>
      <w:shd w:val="clear" w:color="auto" w:fill="FFFFFF"/>
      <w:spacing w:before="780" w:after="1920" w:line="240" w:lineRule="atLeast"/>
      <w:jc w:val="right"/>
    </w:pPr>
    <w:rPr>
      <w:rFonts w:ascii="MingLiU" w:eastAsia="MingLiU" w:cs="MingLiU" w:hAnsiTheme="minorHAnsi"/>
      <w:spacing w:val="20"/>
      <w:sz w:val="30"/>
      <w:szCs w:val="30"/>
    </w:rPr>
  </w:style>
  <w:style w:type="character" w:customStyle="1" w:styleId="58">
    <w:name w:val="正文文本 (3)_"/>
    <w:link w:val="59"/>
    <w:qFormat/>
    <w:uiPriority w:val="99"/>
    <w:rPr>
      <w:rFonts w:ascii="MingLiU" w:eastAsia="MingLiU" w:cs="MingLiU"/>
      <w:spacing w:val="-10"/>
      <w:sz w:val="42"/>
      <w:szCs w:val="42"/>
      <w:shd w:val="clear" w:color="auto" w:fill="FFFFFF"/>
    </w:rPr>
  </w:style>
  <w:style w:type="paragraph" w:customStyle="1" w:styleId="59">
    <w:name w:val="正文文本 (3)"/>
    <w:basedOn w:val="1"/>
    <w:link w:val="58"/>
    <w:qFormat/>
    <w:uiPriority w:val="99"/>
    <w:pPr>
      <w:shd w:val="clear" w:color="auto" w:fill="FFFFFF"/>
      <w:spacing w:before="1800" w:after="180" w:line="240" w:lineRule="atLeast"/>
      <w:jc w:val="center"/>
    </w:pPr>
    <w:rPr>
      <w:rFonts w:ascii="MingLiU" w:eastAsia="MingLiU" w:cs="MingLiU" w:hAnsiTheme="minorHAnsi"/>
      <w:spacing w:val="-10"/>
      <w:sz w:val="42"/>
      <w:szCs w:val="42"/>
    </w:rPr>
  </w:style>
  <w:style w:type="character" w:customStyle="1" w:styleId="60">
    <w:name w:val="正文文本 (3) + Angsana New"/>
    <w:qFormat/>
    <w:uiPriority w:val="99"/>
    <w:rPr>
      <w:rFonts w:ascii="Angsana New" w:hAnsi="Angsana New" w:eastAsia="MingLiU" w:cs="Angsana New"/>
      <w:b/>
      <w:bCs/>
      <w:spacing w:val="-10"/>
      <w:sz w:val="68"/>
      <w:szCs w:val="68"/>
      <w:shd w:val="clear" w:color="auto" w:fill="FFFFFF"/>
    </w:rPr>
  </w:style>
  <w:style w:type="character" w:customStyle="1" w:styleId="61">
    <w:name w:val="正文文本 (3) + Angsana New1"/>
    <w:qFormat/>
    <w:uiPriority w:val="99"/>
    <w:rPr>
      <w:rFonts w:ascii="Angsana New" w:hAnsi="Angsana New" w:eastAsia="MingLiU" w:cs="Angsana New"/>
      <w:b/>
      <w:bCs/>
      <w:spacing w:val="230"/>
      <w:sz w:val="46"/>
      <w:szCs w:val="46"/>
      <w:shd w:val="clear" w:color="auto" w:fill="FFFFFF"/>
      <w:lang w:val="en-US" w:eastAsia="en-US"/>
    </w:rPr>
  </w:style>
  <w:style w:type="character" w:customStyle="1" w:styleId="62">
    <w:name w:val="正文文本 Char"/>
    <w:basedOn w:val="37"/>
    <w:link w:val="10"/>
    <w:qFormat/>
    <w:uiPriority w:val="1"/>
    <w:rPr>
      <w:rFonts w:ascii="Times New Roman" w:hAnsi="Times New Roman" w:eastAsia="宋体" w:cs="Times New Roman"/>
      <w:szCs w:val="24"/>
    </w:rPr>
  </w:style>
  <w:style w:type="character" w:customStyle="1" w:styleId="63">
    <w:name w:val="批注框文本 Char"/>
    <w:basedOn w:val="37"/>
    <w:link w:val="19"/>
    <w:qFormat/>
    <w:uiPriority w:val="99"/>
    <w:rPr>
      <w:sz w:val="18"/>
      <w:szCs w:val="18"/>
    </w:rPr>
  </w:style>
  <w:style w:type="character" w:customStyle="1" w:styleId="64">
    <w:name w:val="页眉 字符"/>
    <w:qFormat/>
    <w:uiPriority w:val="0"/>
    <w:rPr>
      <w:rFonts w:ascii="Times" w:hAnsi="Times"/>
      <w:kern w:val="2"/>
      <w:sz w:val="18"/>
      <w:szCs w:val="18"/>
    </w:rPr>
  </w:style>
  <w:style w:type="character" w:customStyle="1" w:styleId="65">
    <w:name w:val="批注文字 Char"/>
    <w:basedOn w:val="37"/>
    <w:link w:val="9"/>
    <w:qFormat/>
    <w:uiPriority w:val="0"/>
    <w:rPr>
      <w:rFonts w:ascii="Times New Roman" w:hAnsi="Times New Roman" w:eastAsia="宋体" w:cs="Times New Roman"/>
      <w:szCs w:val="24"/>
    </w:rPr>
  </w:style>
  <w:style w:type="character" w:customStyle="1" w:styleId="66">
    <w:name w:val="批注主题 Char"/>
    <w:basedOn w:val="65"/>
    <w:link w:val="33"/>
    <w:qFormat/>
    <w:uiPriority w:val="99"/>
    <w:rPr>
      <w:rFonts w:ascii="Times" w:hAnsi="Times" w:eastAsia="宋体" w:cs="Times New Roman"/>
      <w:b/>
      <w:bCs/>
      <w:szCs w:val="24"/>
    </w:rPr>
  </w:style>
  <w:style w:type="character" w:customStyle="1" w:styleId="67">
    <w:name w:val="日期 Char"/>
    <w:basedOn w:val="37"/>
    <w:link w:val="17"/>
    <w:qFormat/>
    <w:uiPriority w:val="0"/>
    <w:rPr>
      <w:rFonts w:ascii="Times" w:hAnsi="Times" w:eastAsia="宋体" w:cs="Times New Roman"/>
      <w:szCs w:val="24"/>
    </w:rPr>
  </w:style>
  <w:style w:type="paragraph" w:styleId="68">
    <w:name w:val="List Paragraph"/>
    <w:basedOn w:val="1"/>
    <w:qFormat/>
    <w:uiPriority w:val="0"/>
    <w:pPr>
      <w:ind w:firstLine="420" w:firstLineChars="200"/>
    </w:pPr>
  </w:style>
  <w:style w:type="character" w:customStyle="1" w:styleId="69">
    <w:name w:val="纯文本 Char"/>
    <w:basedOn w:val="37"/>
    <w:link w:val="15"/>
    <w:qFormat/>
    <w:uiPriority w:val="0"/>
    <w:rPr>
      <w:rFonts w:ascii="宋体" w:hAnsi="Courier New" w:eastAsia="宋体" w:cs="Courier New"/>
      <w:szCs w:val="21"/>
    </w:rPr>
  </w:style>
  <w:style w:type="character" w:customStyle="1" w:styleId="70">
    <w:name w:val="文档结构图 Char"/>
    <w:basedOn w:val="37"/>
    <w:link w:val="8"/>
    <w:semiHidden/>
    <w:qFormat/>
    <w:uiPriority w:val="0"/>
    <w:rPr>
      <w:rFonts w:ascii="Times" w:hAnsi="Times" w:eastAsia="宋体" w:cs="Times New Roman"/>
      <w:szCs w:val="24"/>
      <w:shd w:val="clear" w:color="auto" w:fill="000080"/>
    </w:rPr>
  </w:style>
  <w:style w:type="character" w:customStyle="1" w:styleId="71">
    <w:name w:val="普通(网站) Char"/>
    <w:link w:val="31"/>
    <w:qFormat/>
    <w:locked/>
    <w:uiPriority w:val="99"/>
    <w:rPr>
      <w:rFonts w:ascii="宋体" w:hAnsi="宋体" w:eastAsia="宋体" w:cs="宋体"/>
      <w:kern w:val="0"/>
      <w:sz w:val="24"/>
      <w:szCs w:val="24"/>
    </w:rPr>
  </w:style>
  <w:style w:type="character" w:customStyle="1" w:styleId="72">
    <w:name w:val="HTML 预设格式 Char"/>
    <w:basedOn w:val="37"/>
    <w:link w:val="30"/>
    <w:qFormat/>
    <w:uiPriority w:val="99"/>
    <w:rPr>
      <w:rFonts w:ascii="宋体" w:hAnsi="宋体" w:eastAsia="宋体" w:cs="宋体"/>
      <w:kern w:val="0"/>
      <w:sz w:val="24"/>
      <w:szCs w:val="24"/>
    </w:rPr>
  </w:style>
  <w:style w:type="paragraph" w:customStyle="1" w:styleId="73">
    <w:name w:val="_Style 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6 Char Char Char"/>
    <w:basedOn w:val="1"/>
    <w:qFormat/>
    <w:uiPriority w:val="0"/>
    <w:rPr>
      <w:rFonts w:ascii="Tahoma" w:hAnsi="Tahoma"/>
      <w:sz w:val="28"/>
      <w:szCs w:val="20"/>
    </w:rPr>
  </w:style>
  <w:style w:type="paragraph" w:customStyle="1" w:styleId="75">
    <w:name w:val="Char Char Char"/>
    <w:basedOn w:val="8"/>
    <w:qFormat/>
    <w:uiPriority w:val="0"/>
    <w:rPr>
      <w:rFonts w:ascii="Tahoma" w:hAnsi="Tahoma"/>
      <w:sz w:val="24"/>
    </w:rPr>
  </w:style>
  <w:style w:type="paragraph" w:customStyle="1" w:styleId="76">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77">
    <w:name w:val="正文文本 字符"/>
    <w:qFormat/>
    <w:uiPriority w:val="0"/>
    <w:rPr>
      <w:rFonts w:ascii="Times" w:hAnsi="Times"/>
      <w:kern w:val="2"/>
      <w:sz w:val="21"/>
      <w:szCs w:val="24"/>
    </w:rPr>
  </w:style>
  <w:style w:type="paragraph" w:customStyle="1" w:styleId="78">
    <w:name w:val="标题 41"/>
    <w:basedOn w:val="1"/>
    <w:qFormat/>
    <w:uiPriority w:val="1"/>
    <w:pPr>
      <w:ind w:left="594"/>
      <w:jc w:val="left"/>
      <w:outlineLvl w:val="4"/>
    </w:pPr>
    <w:rPr>
      <w:rFonts w:ascii="微软雅黑" w:hAnsi="微软雅黑" w:eastAsia="微软雅黑" w:cstheme="minorBidi"/>
      <w:b/>
      <w:bCs/>
      <w:kern w:val="0"/>
      <w:sz w:val="24"/>
      <w:lang w:eastAsia="en-US"/>
    </w:rPr>
  </w:style>
  <w:style w:type="paragraph" w:customStyle="1" w:styleId="7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0">
    <w:name w:val="Note Level 1"/>
    <w:basedOn w:val="1"/>
    <w:unhideWhenUsed/>
    <w:qFormat/>
    <w:uiPriority w:val="99"/>
    <w:pPr>
      <w:keepNext/>
      <w:tabs>
        <w:tab w:val="left" w:pos="0"/>
      </w:tabs>
      <w:contextualSpacing/>
      <w:outlineLvl w:val="0"/>
    </w:pPr>
    <w:rPr>
      <w:rFonts w:ascii="宋体"/>
    </w:rPr>
  </w:style>
  <w:style w:type="paragraph" w:customStyle="1" w:styleId="81">
    <w:name w:val="Note Level 2"/>
    <w:basedOn w:val="1"/>
    <w:semiHidden/>
    <w:unhideWhenUsed/>
    <w:qFormat/>
    <w:uiPriority w:val="99"/>
    <w:pPr>
      <w:keepNext/>
      <w:tabs>
        <w:tab w:val="left" w:pos="720"/>
      </w:tabs>
      <w:ind w:left="1080" w:hanging="360"/>
      <w:contextualSpacing/>
      <w:outlineLvl w:val="1"/>
    </w:pPr>
    <w:rPr>
      <w:rFonts w:ascii="宋体"/>
    </w:rPr>
  </w:style>
  <w:style w:type="paragraph" w:customStyle="1" w:styleId="82">
    <w:name w:val="Note Level 3"/>
    <w:basedOn w:val="1"/>
    <w:semiHidden/>
    <w:unhideWhenUsed/>
    <w:qFormat/>
    <w:uiPriority w:val="99"/>
    <w:pPr>
      <w:keepNext/>
      <w:tabs>
        <w:tab w:val="left" w:pos="1440"/>
      </w:tabs>
      <w:ind w:left="1800" w:hanging="360"/>
      <w:contextualSpacing/>
      <w:outlineLvl w:val="2"/>
    </w:pPr>
    <w:rPr>
      <w:rFonts w:ascii="宋体"/>
    </w:rPr>
  </w:style>
  <w:style w:type="paragraph" w:customStyle="1" w:styleId="83">
    <w:name w:val="Note Level 4"/>
    <w:basedOn w:val="1"/>
    <w:semiHidden/>
    <w:unhideWhenUsed/>
    <w:qFormat/>
    <w:uiPriority w:val="99"/>
    <w:pPr>
      <w:keepNext/>
      <w:tabs>
        <w:tab w:val="left" w:pos="2160"/>
      </w:tabs>
      <w:ind w:left="2520" w:hanging="360"/>
      <w:contextualSpacing/>
      <w:outlineLvl w:val="3"/>
    </w:pPr>
    <w:rPr>
      <w:rFonts w:ascii="宋体"/>
    </w:rPr>
  </w:style>
  <w:style w:type="paragraph" w:customStyle="1" w:styleId="84">
    <w:name w:val="Note Level 5"/>
    <w:basedOn w:val="1"/>
    <w:semiHidden/>
    <w:unhideWhenUsed/>
    <w:qFormat/>
    <w:uiPriority w:val="99"/>
    <w:pPr>
      <w:keepNext/>
      <w:tabs>
        <w:tab w:val="left" w:pos="2880"/>
      </w:tabs>
      <w:ind w:left="3240" w:hanging="360"/>
      <w:contextualSpacing/>
      <w:outlineLvl w:val="4"/>
    </w:pPr>
    <w:rPr>
      <w:rFonts w:ascii="宋体"/>
    </w:rPr>
  </w:style>
  <w:style w:type="paragraph" w:customStyle="1" w:styleId="85">
    <w:name w:val="Note Level 6"/>
    <w:basedOn w:val="1"/>
    <w:semiHidden/>
    <w:unhideWhenUsed/>
    <w:qFormat/>
    <w:uiPriority w:val="99"/>
    <w:pPr>
      <w:keepNext/>
      <w:tabs>
        <w:tab w:val="left" w:pos="3600"/>
      </w:tabs>
      <w:ind w:left="3960" w:hanging="360"/>
      <w:contextualSpacing/>
      <w:outlineLvl w:val="5"/>
    </w:pPr>
    <w:rPr>
      <w:rFonts w:ascii="宋体"/>
    </w:rPr>
  </w:style>
  <w:style w:type="paragraph" w:customStyle="1" w:styleId="86">
    <w:name w:val="Note Level 7"/>
    <w:basedOn w:val="1"/>
    <w:semiHidden/>
    <w:unhideWhenUsed/>
    <w:qFormat/>
    <w:uiPriority w:val="99"/>
    <w:pPr>
      <w:keepNext/>
      <w:tabs>
        <w:tab w:val="left" w:pos="4320"/>
      </w:tabs>
      <w:ind w:left="4680" w:hanging="360"/>
      <w:contextualSpacing/>
      <w:outlineLvl w:val="6"/>
    </w:pPr>
    <w:rPr>
      <w:rFonts w:ascii="宋体"/>
    </w:rPr>
  </w:style>
  <w:style w:type="paragraph" w:customStyle="1" w:styleId="87">
    <w:name w:val="Note Level 8"/>
    <w:basedOn w:val="1"/>
    <w:semiHidden/>
    <w:unhideWhenUsed/>
    <w:qFormat/>
    <w:uiPriority w:val="99"/>
    <w:pPr>
      <w:keepNext/>
      <w:tabs>
        <w:tab w:val="left" w:pos="5040"/>
      </w:tabs>
      <w:ind w:left="5400" w:hanging="360"/>
      <w:contextualSpacing/>
      <w:outlineLvl w:val="7"/>
    </w:pPr>
    <w:rPr>
      <w:rFonts w:ascii="宋体"/>
    </w:rPr>
  </w:style>
  <w:style w:type="paragraph" w:customStyle="1" w:styleId="88">
    <w:name w:val="Note Level 9"/>
    <w:basedOn w:val="1"/>
    <w:semiHidden/>
    <w:unhideWhenUsed/>
    <w:qFormat/>
    <w:uiPriority w:val="99"/>
    <w:pPr>
      <w:keepNext/>
      <w:tabs>
        <w:tab w:val="left" w:pos="5760"/>
      </w:tabs>
      <w:ind w:left="6120" w:hanging="360"/>
      <w:contextualSpacing/>
      <w:outlineLvl w:val="8"/>
    </w:pPr>
    <w:rPr>
      <w:rFonts w:ascii="宋体"/>
    </w:rPr>
  </w:style>
  <w:style w:type="character" w:customStyle="1" w:styleId="89">
    <w:name w:val="webkit-html-tag"/>
    <w:basedOn w:val="37"/>
    <w:qFormat/>
    <w:uiPriority w:val="0"/>
  </w:style>
  <w:style w:type="character" w:customStyle="1" w:styleId="90">
    <w:name w:val="webkit-html-attribute-name"/>
    <w:basedOn w:val="37"/>
    <w:qFormat/>
    <w:uiPriority w:val="0"/>
  </w:style>
  <w:style w:type="character" w:customStyle="1" w:styleId="91">
    <w:name w:val="webkit-html-attribute-value"/>
    <w:basedOn w:val="37"/>
    <w:qFormat/>
    <w:uiPriority w:val="0"/>
  </w:style>
  <w:style w:type="character" w:customStyle="1" w:styleId="92">
    <w:name w:val="标题 Char"/>
    <w:basedOn w:val="37"/>
    <w:link w:val="32"/>
    <w:qFormat/>
    <w:uiPriority w:val="10"/>
    <w:rPr>
      <w:rFonts w:ascii="Cambria" w:hAnsi="Cambria" w:eastAsia="黑体" w:cs="Times New Roman"/>
      <w:bCs/>
      <w:sz w:val="30"/>
      <w:szCs w:val="32"/>
    </w:rPr>
  </w:style>
  <w:style w:type="character" w:customStyle="1" w:styleId="93">
    <w:name w:val="副标题 Char"/>
    <w:basedOn w:val="37"/>
    <w:link w:val="24"/>
    <w:qFormat/>
    <w:uiPriority w:val="0"/>
    <w:rPr>
      <w:rFonts w:ascii="Times New Roman" w:hAnsi="Times New Roman" w:eastAsia="黑体" w:cs="Times New Roman"/>
      <w:bCs/>
      <w:kern w:val="28"/>
      <w:sz w:val="24"/>
      <w:szCs w:val="32"/>
    </w:rPr>
  </w:style>
  <w:style w:type="character" w:customStyle="1" w:styleId="94">
    <w:name w:val="正文文本缩进 2 Char"/>
    <w:basedOn w:val="37"/>
    <w:link w:val="18"/>
    <w:qFormat/>
    <w:uiPriority w:val="0"/>
    <w:rPr>
      <w:rFonts w:ascii="Times New Roman" w:hAnsi="Times New Roman" w:eastAsia="宋体" w:cs="Times New Roman"/>
      <w:szCs w:val="24"/>
    </w:rPr>
  </w:style>
  <w:style w:type="character" w:customStyle="1" w:styleId="95">
    <w:name w:val="正文文本缩进 Char"/>
    <w:basedOn w:val="37"/>
    <w:link w:val="11"/>
    <w:qFormat/>
    <w:uiPriority w:val="0"/>
    <w:rPr>
      <w:rFonts w:ascii="Times New Roman" w:hAnsi="Times New Roman" w:eastAsia="宋体" w:cs="Times New Roman"/>
      <w:kern w:val="0"/>
      <w:sz w:val="20"/>
      <w:szCs w:val="24"/>
    </w:rPr>
  </w:style>
  <w:style w:type="character" w:customStyle="1" w:styleId="96">
    <w:name w:val="fontx1"/>
    <w:basedOn w:val="37"/>
    <w:qFormat/>
    <w:uiPriority w:val="0"/>
    <w:rPr>
      <w:color w:val="000000"/>
      <w:sz w:val="26"/>
      <w:szCs w:val="26"/>
    </w:rPr>
  </w:style>
  <w:style w:type="paragraph" w:customStyle="1" w:styleId="97">
    <w:name w:val="列出段落1"/>
    <w:basedOn w:val="1"/>
    <w:qFormat/>
    <w:uiPriority w:val="0"/>
    <w:pPr>
      <w:ind w:firstLine="420" w:firstLineChars="200"/>
    </w:pPr>
    <w:rPr>
      <w:rFonts w:ascii="Calibri" w:hAnsi="Calibri"/>
      <w:szCs w:val="22"/>
    </w:rPr>
  </w:style>
  <w:style w:type="paragraph" w:customStyle="1" w:styleId="9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05">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06">
    <w:name w:val="xl66"/>
    <w:basedOn w:val="1"/>
    <w:qFormat/>
    <w:uiPriority w:val="0"/>
    <w:pPr>
      <w:widowControl/>
      <w:spacing w:before="100" w:beforeAutospacing="1" w:after="100" w:afterAutospacing="1"/>
      <w:jc w:val="center"/>
    </w:pPr>
    <w:rPr>
      <w:rFonts w:ascii="宋体" w:hAnsi="宋体" w:cs="宋体"/>
      <w:color w:val="333333"/>
      <w:kern w:val="0"/>
      <w:sz w:val="24"/>
    </w:rPr>
  </w:style>
  <w:style w:type="character" w:customStyle="1" w:styleId="107">
    <w:name w:val="页脚 Char1"/>
    <w:basedOn w:val="37"/>
    <w:qFormat/>
    <w:uiPriority w:val="99"/>
    <w:rPr>
      <w:sz w:val="18"/>
      <w:szCs w:val="18"/>
    </w:rPr>
  </w:style>
  <w:style w:type="paragraph" w:customStyle="1" w:styleId="108">
    <w:name w:val="Table Paragraph"/>
    <w:basedOn w:val="1"/>
    <w:qFormat/>
    <w:uiPriority w:val="99"/>
    <w:pPr>
      <w:jc w:val="left"/>
    </w:pPr>
    <w:rPr>
      <w:rFonts w:ascii="Calibri" w:hAnsi="Calibri"/>
      <w:kern w:val="0"/>
      <w:sz w:val="22"/>
      <w:szCs w:val="22"/>
      <w:lang w:eastAsia="en-US"/>
    </w:rPr>
  </w:style>
  <w:style w:type="paragraph" w:customStyle="1" w:styleId="109">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6 Char Char Char1"/>
    <w:basedOn w:val="1"/>
    <w:qFormat/>
    <w:uiPriority w:val="0"/>
    <w:rPr>
      <w:rFonts w:ascii="Tahoma" w:hAnsi="Tahoma"/>
      <w:sz w:val="28"/>
      <w:szCs w:val="20"/>
    </w:rPr>
  </w:style>
  <w:style w:type="paragraph" w:customStyle="1" w:styleId="111">
    <w:name w:val="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6 Char Char Char2"/>
    <w:basedOn w:val="1"/>
    <w:qFormat/>
    <w:uiPriority w:val="0"/>
    <w:rPr>
      <w:rFonts w:ascii="Tahoma" w:hAnsi="Tahoma"/>
      <w:sz w:val="28"/>
      <w:szCs w:val="20"/>
    </w:rPr>
  </w:style>
  <w:style w:type="character" w:customStyle="1" w:styleId="113">
    <w:name w:val="正文文本 (4)_"/>
    <w:link w:val="114"/>
    <w:qFormat/>
    <w:locked/>
    <w:uiPriority w:val="0"/>
    <w:rPr>
      <w:rFonts w:ascii="MingLiU" w:eastAsia="MingLiU"/>
      <w:b/>
      <w:bCs/>
      <w:sz w:val="32"/>
      <w:szCs w:val="32"/>
      <w:shd w:val="clear" w:color="auto" w:fill="FFFFFF"/>
    </w:rPr>
  </w:style>
  <w:style w:type="paragraph" w:customStyle="1" w:styleId="114">
    <w:name w:val="正文文本 (4)"/>
    <w:basedOn w:val="1"/>
    <w:link w:val="113"/>
    <w:qFormat/>
    <w:uiPriority w:val="0"/>
    <w:pPr>
      <w:shd w:val="clear" w:color="auto" w:fill="FFFFFF"/>
      <w:spacing w:line="576" w:lineRule="exact"/>
      <w:jc w:val="distribute"/>
    </w:pPr>
    <w:rPr>
      <w:rFonts w:ascii="MingLiU" w:eastAsia="MingLiU" w:hAnsiTheme="minorHAnsi" w:cstheme="minorBidi"/>
      <w:b/>
      <w:bCs/>
      <w:sz w:val="32"/>
      <w:szCs w:val="32"/>
    </w:rPr>
  </w:style>
  <w:style w:type="character" w:customStyle="1" w:styleId="115">
    <w:name w:val="普通(网站) Char1"/>
    <w:qFormat/>
    <w:uiPriority w:val="99"/>
    <w:rPr>
      <w:rFonts w:ascii="宋体" w:hAnsi="宋体" w:cs="宋体"/>
      <w:sz w:val="24"/>
      <w:szCs w:val="24"/>
    </w:rPr>
  </w:style>
  <w:style w:type="paragraph" w:customStyle="1" w:styleId="116">
    <w:name w:val="表题注"/>
    <w:basedOn w:val="7"/>
    <w:qFormat/>
    <w:uiPriority w:val="0"/>
    <w:pPr>
      <w:keepNext/>
      <w:ind w:left="200" w:leftChars="200"/>
      <w:jc w:val="left"/>
    </w:pPr>
    <w:rPr>
      <w:rFonts w:ascii="Calibri" w:hAnsi="Calibri" w:eastAsia="Calibri" w:cs="Arial"/>
      <w:b/>
      <w:sz w:val="18"/>
      <w:szCs w:val="18"/>
    </w:rPr>
  </w:style>
  <w:style w:type="character" w:customStyle="1" w:styleId="117">
    <w:name w:val="题注 Char1"/>
    <w:link w:val="7"/>
    <w:qFormat/>
    <w:uiPriority w:val="0"/>
    <w:rPr>
      <w:rFonts w:ascii="Cambria" w:hAnsi="Cambria" w:eastAsia="黑体" w:cs="Times New Roman"/>
      <w:sz w:val="20"/>
      <w:szCs w:val="20"/>
    </w:rPr>
  </w:style>
  <w:style w:type="paragraph" w:customStyle="1" w:styleId="118">
    <w:name w:val="报告正文"/>
    <w:basedOn w:val="1"/>
    <w:qFormat/>
    <w:uiPriority w:val="0"/>
    <w:pPr>
      <w:spacing w:line="360" w:lineRule="auto"/>
      <w:ind w:firstLine="200" w:firstLineChars="200"/>
      <w:jc w:val="left"/>
    </w:pPr>
    <w:rPr>
      <w:color w:val="000000"/>
      <w:sz w:val="24"/>
    </w:rPr>
  </w:style>
  <w:style w:type="paragraph" w:customStyle="1" w:styleId="119">
    <w:name w:val="样式1"/>
    <w:basedOn w:val="1"/>
    <w:link w:val="120"/>
    <w:qFormat/>
    <w:uiPriority w:val="0"/>
    <w:pPr>
      <w:widowControl/>
      <w:spacing w:line="560" w:lineRule="exact"/>
      <w:ind w:firstLine="600" w:firstLineChars="250"/>
    </w:pPr>
    <w:rPr>
      <w:rFonts w:ascii="仿宋_GB2312" w:hAnsi="Times" w:eastAsia="仿宋_GB2312"/>
      <w:sz w:val="24"/>
    </w:rPr>
  </w:style>
  <w:style w:type="character" w:customStyle="1" w:styleId="120">
    <w:name w:val="样式1 Char"/>
    <w:link w:val="119"/>
    <w:qFormat/>
    <w:uiPriority w:val="0"/>
    <w:rPr>
      <w:rFonts w:ascii="仿宋_GB2312" w:hAnsi="Times" w:eastAsia="仿宋_GB2312" w:cs="Times New Roman"/>
      <w:sz w:val="24"/>
      <w:szCs w:val="24"/>
    </w:rPr>
  </w:style>
  <w:style w:type="paragraph" w:customStyle="1" w:styleId="121">
    <w:name w:val="正文+宋体"/>
    <w:basedOn w:val="15"/>
    <w:qFormat/>
    <w:uiPriority w:val="99"/>
    <w:rPr>
      <w:u w:color="000000"/>
      <w:lang w:val="zh-TW" w:eastAsia="zh-TW"/>
    </w:rPr>
  </w:style>
  <w:style w:type="character" w:customStyle="1" w:styleId="122">
    <w:name w:val="脚注文本 Char"/>
    <w:basedOn w:val="37"/>
    <w:link w:val="25"/>
    <w:qFormat/>
    <w:uiPriority w:val="99"/>
    <w:rPr>
      <w:rFonts w:ascii="Times New Roman" w:hAnsi="Times New Roman" w:eastAsia="宋体" w:cs="Times New Roman"/>
      <w:sz w:val="18"/>
      <w:szCs w:val="18"/>
    </w:rPr>
  </w:style>
  <w:style w:type="character" w:customStyle="1" w:styleId="123">
    <w:name w:val="脚注文本 Char1"/>
    <w:basedOn w:val="37"/>
    <w:semiHidden/>
    <w:qFormat/>
    <w:uiPriority w:val="99"/>
    <w:rPr>
      <w:rFonts w:ascii="Times New Roman" w:hAnsi="Times New Roman" w:eastAsia="宋体" w:cs="Times New Roman"/>
      <w:sz w:val="18"/>
      <w:szCs w:val="18"/>
    </w:rPr>
  </w:style>
  <w:style w:type="character" w:customStyle="1" w:styleId="124">
    <w:name w:val="Char Char10"/>
    <w:qFormat/>
    <w:uiPriority w:val="0"/>
    <w:rPr>
      <w:rFonts w:ascii="宋体" w:hAnsi="宋体" w:eastAsia="宋体" w:cs="宋体"/>
      <w:b/>
      <w:bCs/>
      <w:kern w:val="36"/>
      <w:sz w:val="48"/>
      <w:szCs w:val="48"/>
      <w:lang w:val="en-US" w:eastAsia="zh-CN" w:bidi="ar-SA"/>
    </w:rPr>
  </w:style>
  <w:style w:type="character" w:customStyle="1" w:styleId="125">
    <w:name w:val="Char Char9"/>
    <w:qFormat/>
    <w:uiPriority w:val="0"/>
    <w:rPr>
      <w:rFonts w:ascii="Times" w:hAnsi="Times"/>
      <w:kern w:val="2"/>
      <w:sz w:val="18"/>
      <w:szCs w:val="18"/>
      <w:lang w:bidi="ar-SA"/>
    </w:rPr>
  </w:style>
  <w:style w:type="character" w:customStyle="1" w:styleId="126">
    <w:name w:val="Char Char4"/>
    <w:qFormat/>
    <w:uiPriority w:val="0"/>
    <w:rPr>
      <w:rFonts w:ascii="Times" w:hAnsi="Times" w:eastAsia="宋体"/>
      <w:kern w:val="2"/>
      <w:sz w:val="18"/>
      <w:szCs w:val="18"/>
      <w:lang w:val="en-US" w:eastAsia="zh-CN" w:bidi="ar-SA"/>
    </w:rPr>
  </w:style>
  <w:style w:type="character" w:customStyle="1" w:styleId="127">
    <w:name w:val="正文文本 Char1"/>
    <w:basedOn w:val="37"/>
    <w:qFormat/>
    <w:uiPriority w:val="0"/>
    <w:rPr>
      <w:rFonts w:ascii="Times" w:hAnsi="Times" w:eastAsia="宋体" w:cs="Times New Roman"/>
      <w:szCs w:val="24"/>
    </w:rPr>
  </w:style>
  <w:style w:type="character" w:customStyle="1" w:styleId="128">
    <w:name w:val="apple-converted-space"/>
    <w:basedOn w:val="37"/>
    <w:qFormat/>
    <w:uiPriority w:val="0"/>
  </w:style>
  <w:style w:type="character" w:customStyle="1" w:styleId="129">
    <w:name w:val="正文文本缩进 3 Char"/>
    <w:basedOn w:val="37"/>
    <w:link w:val="27"/>
    <w:qFormat/>
    <w:uiPriority w:val="0"/>
    <w:rPr>
      <w:rFonts w:ascii="Times New Roman" w:hAnsi="Times New Roman" w:eastAsia="宋体" w:cs="Times New Roman"/>
      <w:sz w:val="16"/>
      <w:szCs w:val="16"/>
    </w:rPr>
  </w:style>
  <w:style w:type="character" w:customStyle="1" w:styleId="130">
    <w:name w:val="题注 Char"/>
    <w:qFormat/>
    <w:locked/>
    <w:uiPriority w:val="0"/>
    <w:rPr>
      <w:rFonts w:ascii="Cambria" w:hAnsi="Cambria" w:eastAsia="黑体"/>
      <w:kern w:val="2"/>
      <w:lang w:val="en-US" w:eastAsia="zh-CN" w:bidi="ar-SA"/>
    </w:rPr>
  </w:style>
  <w:style w:type="paragraph" w:customStyle="1" w:styleId="131">
    <w:name w:val="Char"/>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132">
    <w:name w:val="Char1"/>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133">
    <w:name w:val="Char2"/>
    <w:basedOn w:val="1"/>
    <w:qFormat/>
    <w:uiPriority w:val="0"/>
    <w:pPr>
      <w:widowControl/>
      <w:spacing w:after="160" w:line="240" w:lineRule="exact"/>
      <w:jc w:val="left"/>
    </w:pPr>
    <w:rPr>
      <w:rFonts w:ascii="Verdana" w:hAnsi="Verdana" w:eastAsia="MS Mincho" w:cs="Verdana"/>
      <w:kern w:val="0"/>
      <w:sz w:val="20"/>
      <w:szCs w:val="20"/>
      <w:lang w:eastAsia="en-US"/>
    </w:rPr>
  </w:style>
  <w:style w:type="character" w:customStyle="1" w:styleId="134">
    <w:name w:val="font01"/>
    <w:qFormat/>
    <w:uiPriority w:val="0"/>
    <w:rPr>
      <w:rFonts w:hint="default" w:ascii="Times New Roman" w:hAnsi="Times New Roman" w:cs="Times New Roman"/>
      <w:color w:val="000000"/>
      <w:sz w:val="24"/>
      <w:szCs w:val="24"/>
      <w:u w:val="none"/>
    </w:rPr>
  </w:style>
  <w:style w:type="character" w:customStyle="1" w:styleId="135">
    <w:name w:val="font11"/>
    <w:qFormat/>
    <w:uiPriority w:val="0"/>
    <w:rPr>
      <w:rFonts w:hint="eastAsia" w:ascii="仿宋_GB2312" w:eastAsia="仿宋_GB2312" w:cs="仿宋_GB2312"/>
      <w:color w:val="000000"/>
      <w:sz w:val="36"/>
      <w:szCs w:val="36"/>
      <w:u w:val="none"/>
    </w:rPr>
  </w:style>
  <w:style w:type="character" w:customStyle="1" w:styleId="136">
    <w:name w:val="font31"/>
    <w:qFormat/>
    <w:uiPriority w:val="0"/>
    <w:rPr>
      <w:rFonts w:hint="eastAsia" w:ascii="仿宋_GB2312" w:eastAsia="仿宋_GB2312" w:cs="仿宋_GB2312"/>
      <w:color w:val="000000"/>
      <w:sz w:val="36"/>
      <w:szCs w:val="36"/>
      <w:u w:val="none"/>
    </w:rPr>
  </w:style>
  <w:style w:type="character" w:customStyle="1" w:styleId="137">
    <w:name w:val="font21"/>
    <w:qFormat/>
    <w:uiPriority w:val="0"/>
    <w:rPr>
      <w:rFonts w:hint="eastAsia" w:ascii="仿宋_GB2312" w:eastAsia="仿宋_GB2312" w:cs="仿宋_GB2312"/>
      <w:color w:val="000000"/>
      <w:sz w:val="20"/>
      <w:szCs w:val="20"/>
      <w:u w:val="none"/>
    </w:rPr>
  </w:style>
  <w:style w:type="character" w:customStyle="1" w:styleId="138">
    <w:name w:val="text41"/>
    <w:qFormat/>
    <w:uiPriority w:val="0"/>
    <w:rPr>
      <w:color w:val="000000"/>
      <w:sz w:val="21"/>
      <w:szCs w:val="21"/>
    </w:rPr>
  </w:style>
  <w:style w:type="character" w:customStyle="1" w:styleId="139">
    <w:name w:val="Footer Char"/>
    <w:qFormat/>
    <w:locked/>
    <w:uiPriority w:val="0"/>
    <w:rPr>
      <w:rFonts w:ascii="Times" w:hAnsi="Times" w:eastAsia="宋体" w:cs="Times New Roman"/>
      <w:sz w:val="18"/>
      <w:szCs w:val="18"/>
    </w:rPr>
  </w:style>
  <w:style w:type="paragraph" w:customStyle="1" w:styleId="140">
    <w:name w:val="1"/>
    <w:basedOn w:val="1"/>
    <w:qFormat/>
    <w:uiPriority w:val="0"/>
    <w:pPr>
      <w:ind w:firstLine="420" w:firstLineChars="200"/>
    </w:pPr>
    <w:rPr>
      <w:rFonts w:ascii="Calibri" w:hAnsi="Calibri"/>
      <w:szCs w:val="22"/>
    </w:rPr>
  </w:style>
  <w:style w:type="paragraph" w:customStyle="1" w:styleId="141">
    <w:name w:val="正文内容"/>
    <w:basedOn w:val="1"/>
    <w:link w:val="142"/>
    <w:qFormat/>
    <w:uiPriority w:val="0"/>
    <w:pPr>
      <w:spacing w:after="200" w:line="400" w:lineRule="exact"/>
      <w:ind w:firstLine="480" w:firstLineChars="200"/>
    </w:pPr>
    <w:rPr>
      <w:rFonts w:ascii="宋体" w:hAnsi="宋体"/>
      <w:kern w:val="0"/>
      <w:sz w:val="24"/>
      <w:szCs w:val="20"/>
      <w:lang w:val="zh-CN"/>
    </w:rPr>
  </w:style>
  <w:style w:type="character" w:customStyle="1" w:styleId="142">
    <w:name w:val="正文内容 Char"/>
    <w:link w:val="141"/>
    <w:qFormat/>
    <w:locked/>
    <w:uiPriority w:val="0"/>
    <w:rPr>
      <w:rFonts w:ascii="宋体" w:hAnsi="宋体" w:eastAsia="宋体" w:cs="Times New Roman"/>
      <w:kern w:val="0"/>
      <w:sz w:val="24"/>
      <w:szCs w:val="20"/>
      <w:lang w:val="zh-CN"/>
    </w:rPr>
  </w:style>
  <w:style w:type="character" w:customStyle="1" w:styleId="143">
    <w:name w:val="正文内容 Char Char"/>
    <w:qFormat/>
    <w:uiPriority w:val="0"/>
    <w:rPr>
      <w:rFonts w:ascii="宋体" w:hAnsi="宋体" w:eastAsia="宋体"/>
      <w:sz w:val="24"/>
      <w:lang w:val="zh-CN"/>
    </w:rPr>
  </w:style>
  <w:style w:type="paragraph" w:customStyle="1" w:styleId="144">
    <w:name w:val="p0"/>
    <w:basedOn w:val="1"/>
    <w:qFormat/>
    <w:uiPriority w:val="0"/>
    <w:pPr>
      <w:widowControl/>
      <w:spacing w:before="100" w:beforeAutospacing="1" w:after="100" w:afterAutospacing="1" w:line="276" w:lineRule="auto"/>
      <w:jc w:val="left"/>
    </w:pPr>
    <w:rPr>
      <w:rFonts w:ascii="宋体" w:hAnsi="宋体" w:cs="宋体"/>
      <w:kern w:val="0"/>
      <w:sz w:val="24"/>
    </w:rPr>
  </w:style>
  <w:style w:type="paragraph" w:customStyle="1" w:styleId="145">
    <w:name w:val="列出段落11"/>
    <w:basedOn w:val="1"/>
    <w:qFormat/>
    <w:uiPriority w:val="0"/>
    <w:pPr>
      <w:spacing w:after="200" w:line="276" w:lineRule="auto"/>
      <w:ind w:firstLine="420" w:firstLineChars="200"/>
    </w:pPr>
    <w:rPr>
      <w:szCs w:val="21"/>
    </w:rPr>
  </w:style>
  <w:style w:type="paragraph" w:customStyle="1" w:styleId="146">
    <w:name w:val="列出段落2"/>
    <w:basedOn w:val="1"/>
    <w:qFormat/>
    <w:uiPriority w:val="0"/>
    <w:pPr>
      <w:spacing w:after="200" w:line="276" w:lineRule="auto"/>
      <w:ind w:firstLine="420" w:firstLineChars="200"/>
    </w:pPr>
  </w:style>
  <w:style w:type="character" w:customStyle="1" w:styleId="147">
    <w:name w:val="HTML Preformatted Char"/>
    <w:qFormat/>
    <w:locked/>
    <w:uiPriority w:val="0"/>
    <w:rPr>
      <w:rFonts w:ascii="宋体" w:hAnsi="宋体" w:eastAsia="宋体" w:cs="宋体"/>
      <w:kern w:val="0"/>
      <w:sz w:val="24"/>
      <w:szCs w:val="24"/>
    </w:rPr>
  </w:style>
  <w:style w:type="character" w:customStyle="1" w:styleId="148">
    <w:name w:val="15"/>
    <w:qFormat/>
    <w:uiPriority w:val="0"/>
    <w:rPr>
      <w:rFonts w:ascii="Times New Roman" w:hAnsi="Times New Roman"/>
      <w:sz w:val="20"/>
    </w:rPr>
  </w:style>
  <w:style w:type="paragraph" w:customStyle="1" w:styleId="14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页眉 Char1"/>
    <w:basedOn w:val="37"/>
    <w:semiHidden/>
    <w:qFormat/>
    <w:uiPriority w:val="99"/>
    <w:rPr>
      <w:sz w:val="18"/>
      <w:szCs w:val="18"/>
    </w:rPr>
  </w:style>
  <w:style w:type="character" w:customStyle="1" w:styleId="151">
    <w:name w:val="批注文字 Char1"/>
    <w:basedOn w:val="37"/>
    <w:semiHidden/>
    <w:qFormat/>
    <w:uiPriority w:val="99"/>
    <w:rPr>
      <w:rFonts w:ascii="Times New Roman" w:hAnsi="Times New Roman" w:eastAsia="宋体" w:cs="Times New Roman"/>
      <w:szCs w:val="24"/>
    </w:rPr>
  </w:style>
  <w:style w:type="character" w:customStyle="1" w:styleId="152">
    <w:name w:val="批注框文本 Char1"/>
    <w:basedOn w:val="37"/>
    <w:semiHidden/>
    <w:qFormat/>
    <w:uiPriority w:val="99"/>
    <w:rPr>
      <w:rFonts w:ascii="Times New Roman" w:hAnsi="Times New Roman" w:eastAsia="宋体" w:cs="Times New Roman"/>
      <w:sz w:val="18"/>
      <w:szCs w:val="18"/>
    </w:rPr>
  </w:style>
  <w:style w:type="table" w:customStyle="1" w:styleId="153">
    <w:name w:val="网格型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155">
    <w:name w:val="评0正文"/>
    <w:basedOn w:val="31"/>
    <w:qFormat/>
    <w:uiPriority w:val="0"/>
    <w:pPr>
      <w:spacing w:before="0" w:beforeAutospacing="0" w:after="0" w:afterAutospacing="0" w:line="360" w:lineRule="auto"/>
      <w:ind w:firstLine="200" w:firstLineChars="200"/>
      <w:jc w:val="both"/>
    </w:pPr>
    <w:rPr>
      <w:rFonts w:ascii="Times New Roman" w:hAnsi="Times New Roman" w:cs="Times New Roman"/>
      <w:bCs/>
      <w:color w:val="000000" w:themeColor="text1"/>
      <w14:textFill>
        <w14:solidFill>
          <w14:schemeClr w14:val="tx1"/>
        </w14:solidFill>
      </w14:textFill>
    </w:rPr>
  </w:style>
  <w:style w:type="paragraph" w:customStyle="1" w:styleId="156">
    <w:name w:val="评t图题"/>
    <w:basedOn w:val="1"/>
    <w:qFormat/>
    <w:uiPriority w:val="0"/>
    <w:pPr>
      <w:spacing w:afterLines="50"/>
      <w:jc w:val="center"/>
    </w:pPr>
    <w:rPr>
      <w:rFonts w:eastAsia="黑体"/>
      <w:color w:val="000000" w:themeColor="text1"/>
      <w:szCs w:val="21"/>
      <w14:textFill>
        <w14:solidFill>
          <w14:schemeClr w14:val="tx1"/>
        </w14:solidFill>
      </w14:textFill>
    </w:rPr>
  </w:style>
  <w:style w:type="paragraph" w:customStyle="1" w:styleId="157">
    <w:name w:val="标准"/>
    <w:basedOn w:val="1"/>
    <w:qFormat/>
    <w:uiPriority w:val="0"/>
    <w:pPr>
      <w:adjustRightInd w:val="0"/>
      <w:spacing w:before="120" w:after="120" w:line="312" w:lineRule="atLeast"/>
      <w:textAlignment w:val="baseline"/>
    </w:pPr>
    <w:rPr>
      <w:rFonts w:ascii="宋体"/>
      <w:kern w:val="0"/>
      <w:szCs w:val="20"/>
    </w:rPr>
  </w:style>
  <w:style w:type="paragraph" w:customStyle="1" w:styleId="158">
    <w:name w:val="评估正文"/>
    <w:basedOn w:val="31"/>
    <w:qFormat/>
    <w:uiPriority w:val="99"/>
    <w:pPr>
      <w:spacing w:before="0" w:beforeAutospacing="0" w:after="0" w:afterAutospacing="0" w:line="360" w:lineRule="auto"/>
      <w:ind w:firstLine="200" w:firstLineChars="200"/>
      <w:jc w:val="both"/>
    </w:pPr>
    <w:rPr>
      <w:rFonts w:ascii="Times New Roman" w:hAnsi="Times New Roman" w:cs="Times New Roman"/>
      <w:color w:val="000000"/>
    </w:rPr>
  </w:style>
  <w:style w:type="paragraph" w:customStyle="1" w:styleId="159">
    <w:name w:val="评估 图题"/>
    <w:basedOn w:val="1"/>
    <w:qFormat/>
    <w:uiPriority w:val="99"/>
    <w:pPr>
      <w:spacing w:afterLines="50"/>
      <w:jc w:val="center"/>
    </w:pPr>
    <w:rPr>
      <w:rFonts w:eastAsia="黑体"/>
      <w:color w:val="000000"/>
      <w:szCs w:val="21"/>
    </w:rPr>
  </w:style>
  <w:style w:type="paragraph" w:customStyle="1" w:styleId="160">
    <w:name w:val="Char Char Char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6 Char Char Char3"/>
    <w:basedOn w:val="1"/>
    <w:qFormat/>
    <w:uiPriority w:val="0"/>
    <w:rPr>
      <w:rFonts w:ascii="Tahoma" w:hAnsi="Tahoma"/>
      <w:sz w:val="28"/>
      <w:szCs w:val="20"/>
    </w:rPr>
  </w:style>
  <w:style w:type="paragraph" w:customStyle="1" w:styleId="162">
    <w:name w:val="评估标题1.1"/>
    <w:basedOn w:val="1"/>
    <w:qFormat/>
    <w:uiPriority w:val="0"/>
    <w:pPr>
      <w:widowControl/>
      <w:spacing w:beforeLines="50" w:line="480" w:lineRule="auto"/>
    </w:pPr>
    <w:rPr>
      <w:rFonts w:eastAsia="黑体"/>
      <w:b/>
      <w:bCs/>
      <w:color w:val="000000"/>
      <w:kern w:val="0"/>
      <w:sz w:val="28"/>
      <w:szCs w:val="28"/>
    </w:rPr>
  </w:style>
  <w:style w:type="paragraph" w:customStyle="1" w:styleId="163">
    <w:name w:val="评估1.1.1"/>
    <w:basedOn w:val="1"/>
    <w:qFormat/>
    <w:uiPriority w:val="0"/>
    <w:pPr>
      <w:widowControl/>
      <w:spacing w:line="360" w:lineRule="auto"/>
    </w:pPr>
    <w:rPr>
      <w:rFonts w:eastAsia="黑体"/>
      <w:b/>
      <w:bCs/>
      <w:color w:val="000000"/>
      <w:kern w:val="0"/>
      <w:sz w:val="24"/>
    </w:rPr>
  </w:style>
  <w:style w:type="character" w:customStyle="1" w:styleId="164">
    <w:name w:val="17"/>
    <w:basedOn w:val="37"/>
    <w:qFormat/>
    <w:uiPriority w:val="99"/>
    <w:rPr>
      <w:rFonts w:ascii="MingLiUfalt" w:hAnsi="MingLiUfalt" w:eastAsia="MingLiUfalt" w:cs="Times New Roman"/>
      <w:spacing w:val="-10"/>
      <w:sz w:val="42"/>
      <w:szCs w:val="42"/>
      <w:shd w:val="clear" w:color="auto" w:fill="FFFFFF"/>
    </w:rPr>
  </w:style>
  <w:style w:type="paragraph" w:customStyle="1" w:styleId="165">
    <w:name w:val="_Style 1"/>
    <w:basedOn w:val="1"/>
    <w:qFormat/>
    <w:uiPriority w:val="34"/>
    <w:pPr>
      <w:ind w:firstLine="420" w:firstLineChars="200"/>
    </w:pPr>
    <w:rPr>
      <w:rFonts w:ascii="Calibri" w:hAnsi="Calibri"/>
      <w:szCs w:val="22"/>
    </w:rPr>
  </w:style>
  <w:style w:type="character" w:customStyle="1" w:styleId="166">
    <w:name w:val="标题 3 字符"/>
    <w:semiHidden/>
    <w:qFormat/>
    <w:uiPriority w:val="0"/>
    <w:rPr>
      <w:b/>
      <w:bCs/>
      <w:kern w:val="2"/>
      <w:sz w:val="32"/>
      <w:szCs w:val="32"/>
    </w:rPr>
  </w:style>
  <w:style w:type="character" w:customStyle="1" w:styleId="167">
    <w:name w:val="页脚 字符"/>
    <w:qFormat/>
    <w:uiPriority w:val="0"/>
    <w:rPr>
      <w:kern w:val="2"/>
      <w:sz w:val="18"/>
      <w:szCs w:val="18"/>
    </w:rPr>
  </w:style>
  <w:style w:type="character" w:customStyle="1" w:styleId="168">
    <w:name w:val="font41"/>
    <w:qFormat/>
    <w:uiPriority w:val="0"/>
    <w:rPr>
      <w:rFonts w:hint="default" w:ascii="Times New Roman" w:hAnsi="Times New Roman" w:cs="Times New Roman"/>
      <w:color w:val="000000"/>
      <w:sz w:val="21"/>
      <w:szCs w:val="21"/>
      <w:u w:val="none"/>
    </w:rPr>
  </w:style>
  <w:style w:type="paragraph" w:customStyle="1" w:styleId="169">
    <w:name w:val="样式2"/>
    <w:basedOn w:val="1"/>
    <w:qFormat/>
    <w:uiPriority w:val="0"/>
    <w:pPr>
      <w:spacing w:before="120" w:line="440" w:lineRule="exact"/>
      <w:ind w:firstLine="480" w:firstLineChars="200"/>
    </w:pPr>
    <w:rPr>
      <w:rFonts w:ascii="黑体" w:hAnsi="黑体" w:eastAsia="黑体" w:cs="黑体"/>
      <w:color w:val="000000"/>
      <w:kern w:val="1"/>
      <w:sz w:val="24"/>
      <w:szCs w:val="21"/>
    </w:rPr>
  </w:style>
  <w:style w:type="paragraph" w:customStyle="1" w:styleId="170">
    <w:name w:val="列出段落3"/>
    <w:basedOn w:val="1"/>
    <w:qFormat/>
    <w:uiPriority w:val="0"/>
    <w:pPr>
      <w:ind w:firstLine="420" w:firstLineChars="200"/>
      <w:jc w:val="left"/>
    </w:pPr>
    <w:rPr>
      <w:sz w:val="24"/>
      <w:szCs w:val="21"/>
    </w:rPr>
  </w:style>
  <w:style w:type="character" w:customStyle="1" w:styleId="171">
    <w:name w:val="apple-style-span"/>
    <w:qFormat/>
    <w:uiPriority w:val="0"/>
  </w:style>
  <w:style w:type="character" w:customStyle="1" w:styleId="172">
    <w:name w:val="Char Char7"/>
    <w:qFormat/>
    <w:locked/>
    <w:uiPriority w:val="0"/>
    <w:rPr>
      <w:rFonts w:ascii="Times" w:hAnsi="Times" w:eastAsia="宋体" w:cs="Times"/>
      <w:kern w:val="2"/>
      <w:sz w:val="21"/>
      <w:szCs w:val="24"/>
      <w:lang w:val="en-US" w:eastAsia="zh-CN" w:bidi="ar-SA"/>
    </w:rPr>
  </w:style>
  <w:style w:type="paragraph" w:customStyle="1" w:styleId="173">
    <w:name w:val="_Style 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4">
    <w:name w:val="页眉 Char2"/>
    <w:basedOn w:val="37"/>
    <w:qFormat/>
    <w:uiPriority w:val="0"/>
    <w:rPr>
      <w:sz w:val="18"/>
      <w:szCs w:val="18"/>
    </w:rPr>
  </w:style>
  <w:style w:type="character" w:customStyle="1" w:styleId="175">
    <w:name w:val="页脚 Char2"/>
    <w:basedOn w:val="37"/>
    <w:qFormat/>
    <w:uiPriority w:val="0"/>
    <w:rPr>
      <w:sz w:val="18"/>
      <w:szCs w:val="18"/>
    </w:rPr>
  </w:style>
  <w:style w:type="character" w:customStyle="1" w:styleId="176">
    <w:name w:val="标题 1 字符"/>
    <w:basedOn w:val="37"/>
    <w:qFormat/>
    <w:uiPriority w:val="9"/>
    <w:rPr>
      <w:rFonts w:ascii="Times New Roman" w:hAnsi="Times New Roman" w:eastAsia="宋体" w:cs="Times New Roman"/>
      <w:b/>
      <w:bCs/>
      <w:kern w:val="44"/>
      <w:sz w:val="44"/>
      <w:szCs w:val="44"/>
    </w:rPr>
  </w:style>
  <w:style w:type="character" w:customStyle="1" w:styleId="177">
    <w:name w:val="标题 2 字符"/>
    <w:basedOn w:val="37"/>
    <w:semiHidden/>
    <w:qFormat/>
    <w:uiPriority w:val="9"/>
    <w:rPr>
      <w:rFonts w:asciiTheme="majorHAnsi" w:hAnsiTheme="majorHAnsi" w:eastAsiaTheme="majorEastAsia" w:cstheme="majorBidi"/>
      <w:b/>
      <w:bCs/>
      <w:sz w:val="32"/>
      <w:szCs w:val="32"/>
    </w:rPr>
  </w:style>
  <w:style w:type="character" w:customStyle="1" w:styleId="178">
    <w:name w:val="标题 4 字符"/>
    <w:basedOn w:val="37"/>
    <w:semiHidden/>
    <w:qFormat/>
    <w:uiPriority w:val="9"/>
    <w:rPr>
      <w:rFonts w:asciiTheme="majorHAnsi" w:hAnsiTheme="majorHAnsi" w:eastAsiaTheme="majorEastAsia" w:cstheme="majorBidi"/>
      <w:b/>
      <w:bCs/>
      <w:sz w:val="28"/>
      <w:szCs w:val="28"/>
    </w:rPr>
  </w:style>
  <w:style w:type="character" w:customStyle="1" w:styleId="179">
    <w:name w:val="批注框文本 字符"/>
    <w:basedOn w:val="37"/>
    <w:semiHidden/>
    <w:qFormat/>
    <w:uiPriority w:val="99"/>
    <w:rPr>
      <w:rFonts w:ascii="Times New Roman" w:hAnsi="Times New Roman" w:eastAsia="宋体" w:cs="Times New Roman"/>
      <w:sz w:val="18"/>
      <w:szCs w:val="18"/>
    </w:rPr>
  </w:style>
  <w:style w:type="character" w:customStyle="1" w:styleId="180">
    <w:name w:val="批注文字 字符"/>
    <w:basedOn w:val="37"/>
    <w:semiHidden/>
    <w:qFormat/>
    <w:uiPriority w:val="99"/>
    <w:rPr>
      <w:rFonts w:ascii="Times New Roman" w:hAnsi="Times New Roman" w:eastAsia="宋体" w:cs="Times New Roman"/>
      <w:szCs w:val="24"/>
    </w:rPr>
  </w:style>
  <w:style w:type="character" w:customStyle="1" w:styleId="181">
    <w:name w:val="批注主题 字符"/>
    <w:basedOn w:val="180"/>
    <w:semiHidden/>
    <w:qFormat/>
    <w:uiPriority w:val="99"/>
    <w:rPr>
      <w:rFonts w:ascii="Times New Roman" w:hAnsi="Times New Roman" w:eastAsia="宋体" w:cs="Times New Roman"/>
      <w:b/>
      <w:bCs/>
      <w:szCs w:val="24"/>
    </w:rPr>
  </w:style>
  <w:style w:type="character" w:customStyle="1" w:styleId="182">
    <w:name w:val="日期 字符"/>
    <w:basedOn w:val="37"/>
    <w:semiHidden/>
    <w:qFormat/>
    <w:uiPriority w:val="99"/>
    <w:rPr>
      <w:rFonts w:ascii="Times New Roman" w:hAnsi="Times New Roman" w:eastAsia="宋体" w:cs="Times New Roman"/>
      <w:szCs w:val="24"/>
    </w:rPr>
  </w:style>
  <w:style w:type="character" w:customStyle="1" w:styleId="183">
    <w:name w:val="纯文本 字符"/>
    <w:basedOn w:val="37"/>
    <w:semiHidden/>
    <w:qFormat/>
    <w:uiPriority w:val="99"/>
    <w:rPr>
      <w:rFonts w:hAnsi="Courier New" w:cs="Courier New" w:asciiTheme="minorEastAsia"/>
      <w:szCs w:val="24"/>
    </w:rPr>
  </w:style>
  <w:style w:type="character" w:customStyle="1" w:styleId="184">
    <w:name w:val="文档结构图 字符"/>
    <w:basedOn w:val="37"/>
    <w:semiHidden/>
    <w:qFormat/>
    <w:uiPriority w:val="99"/>
    <w:rPr>
      <w:rFonts w:ascii="Microsoft YaHei UI" w:hAnsi="Times New Roman" w:eastAsia="Microsoft YaHei UI" w:cs="Times New Roman"/>
      <w:sz w:val="18"/>
      <w:szCs w:val="18"/>
    </w:rPr>
  </w:style>
  <w:style w:type="character" w:customStyle="1" w:styleId="185">
    <w:name w:val="HTML 预设格式 字符"/>
    <w:basedOn w:val="37"/>
    <w:semiHidden/>
    <w:qFormat/>
    <w:uiPriority w:val="99"/>
    <w:rPr>
      <w:rFonts w:ascii="Courier New" w:hAnsi="Courier New" w:eastAsia="宋体" w:cs="Courier New"/>
      <w:sz w:val="20"/>
      <w:szCs w:val="20"/>
    </w:rPr>
  </w:style>
  <w:style w:type="character" w:customStyle="1" w:styleId="186">
    <w:name w:val="标题 字符"/>
    <w:basedOn w:val="37"/>
    <w:qFormat/>
    <w:uiPriority w:val="10"/>
    <w:rPr>
      <w:rFonts w:asciiTheme="majorHAnsi" w:hAnsiTheme="majorHAnsi" w:eastAsiaTheme="majorEastAsia" w:cstheme="majorBidi"/>
      <w:b/>
      <w:bCs/>
      <w:sz w:val="32"/>
      <w:szCs w:val="32"/>
    </w:rPr>
  </w:style>
  <w:style w:type="character" w:customStyle="1" w:styleId="187">
    <w:name w:val="副标题 字符"/>
    <w:basedOn w:val="37"/>
    <w:qFormat/>
    <w:uiPriority w:val="11"/>
    <w:rPr>
      <w:b/>
      <w:bCs/>
      <w:kern w:val="28"/>
      <w:sz w:val="32"/>
      <w:szCs w:val="32"/>
    </w:rPr>
  </w:style>
  <w:style w:type="character" w:customStyle="1" w:styleId="188">
    <w:name w:val="正文文本缩进 2 字符"/>
    <w:basedOn w:val="37"/>
    <w:semiHidden/>
    <w:qFormat/>
    <w:uiPriority w:val="99"/>
    <w:rPr>
      <w:rFonts w:ascii="Times New Roman" w:hAnsi="Times New Roman" w:eastAsia="宋体" w:cs="Times New Roman"/>
      <w:szCs w:val="24"/>
    </w:rPr>
  </w:style>
  <w:style w:type="character" w:customStyle="1" w:styleId="189">
    <w:name w:val="正文文本缩进 字符"/>
    <w:basedOn w:val="37"/>
    <w:semiHidden/>
    <w:qFormat/>
    <w:uiPriority w:val="99"/>
    <w:rPr>
      <w:rFonts w:ascii="Times New Roman" w:hAnsi="Times New Roman" w:eastAsia="宋体" w:cs="Times New Roman"/>
      <w:szCs w:val="24"/>
    </w:rPr>
  </w:style>
  <w:style w:type="character" w:customStyle="1" w:styleId="190">
    <w:name w:val="脚注文本 字符"/>
    <w:basedOn w:val="37"/>
    <w:semiHidden/>
    <w:qFormat/>
    <w:uiPriority w:val="99"/>
    <w:rPr>
      <w:rFonts w:ascii="Times New Roman" w:hAnsi="Times New Roman" w:eastAsia="宋体" w:cs="Times New Roman"/>
      <w:sz w:val="18"/>
      <w:szCs w:val="18"/>
    </w:rPr>
  </w:style>
  <w:style w:type="character" w:customStyle="1" w:styleId="191">
    <w:name w:val="正文文本缩进 3 字符"/>
    <w:basedOn w:val="37"/>
    <w:semiHidden/>
    <w:qFormat/>
    <w:uiPriority w:val="99"/>
    <w:rPr>
      <w:rFonts w:ascii="Times New Roman" w:hAnsi="Times New Roman" w:eastAsia="宋体" w:cs="Times New Roman"/>
      <w:sz w:val="16"/>
      <w:szCs w:val="16"/>
    </w:rPr>
  </w:style>
  <w:style w:type="paragraph" w:customStyle="1" w:styleId="192">
    <w:name w:val="图注"/>
    <w:basedOn w:val="1"/>
    <w:link w:val="193"/>
    <w:qFormat/>
    <w:uiPriority w:val="0"/>
    <w:pPr>
      <w:adjustRightInd w:val="0"/>
      <w:snapToGrid w:val="0"/>
      <w:spacing w:line="360" w:lineRule="auto"/>
      <w:jc w:val="center"/>
      <w:textAlignment w:val="baseline"/>
    </w:pPr>
    <w:rPr>
      <w:rFonts w:ascii="黑体" w:hAnsi="黑体" w:eastAsia="黑体"/>
      <w:color w:val="000000"/>
      <w:kern w:val="0"/>
      <w:szCs w:val="21"/>
    </w:rPr>
  </w:style>
  <w:style w:type="character" w:customStyle="1" w:styleId="193">
    <w:name w:val="图注 Char"/>
    <w:link w:val="192"/>
    <w:qFormat/>
    <w:uiPriority w:val="0"/>
    <w:rPr>
      <w:rFonts w:ascii="黑体" w:hAnsi="黑体" w:eastAsia="黑体" w:cs="Times New Roman"/>
      <w:color w:val="000000"/>
      <w:sz w:val="21"/>
      <w:szCs w:val="21"/>
    </w:rPr>
  </w:style>
  <w:style w:type="character" w:customStyle="1" w:styleId="194">
    <w:name w:val="Char Char91"/>
    <w:qFormat/>
    <w:uiPriority w:val="0"/>
    <w:rPr>
      <w:rFonts w:ascii="Times" w:hAnsi="Times"/>
      <w:kern w:val="2"/>
      <w:sz w:val="18"/>
      <w:szCs w:val="18"/>
      <w:lang w:bidi="ar-SA"/>
    </w:rPr>
  </w:style>
  <w:style w:type="character" w:customStyle="1" w:styleId="195">
    <w:name w:val="Char Char101"/>
    <w:qFormat/>
    <w:uiPriority w:val="0"/>
    <w:rPr>
      <w:rFonts w:ascii="宋体" w:hAnsi="宋体" w:eastAsia="宋体" w:cs="宋体"/>
      <w:b/>
      <w:bCs/>
      <w:kern w:val="36"/>
      <w:sz w:val="48"/>
      <w:szCs w:val="48"/>
      <w:lang w:val="en-US" w:eastAsia="zh-CN" w:bidi="ar-SA"/>
    </w:rPr>
  </w:style>
  <w:style w:type="character" w:customStyle="1" w:styleId="196">
    <w:name w:val="Char Char41"/>
    <w:qFormat/>
    <w:uiPriority w:val="0"/>
    <w:rPr>
      <w:rFonts w:ascii="Times" w:hAnsi="Times" w:eastAsia="宋体"/>
      <w:kern w:val="2"/>
      <w:sz w:val="18"/>
      <w:szCs w:val="18"/>
      <w:lang w:val="en-US" w:eastAsia="zh-CN" w:bidi="ar-SA"/>
    </w:rPr>
  </w:style>
  <w:style w:type="paragraph" w:customStyle="1" w:styleId="197">
    <w:name w:val="Char Char Char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Char6 Char Char Char4"/>
    <w:basedOn w:val="1"/>
    <w:qFormat/>
    <w:uiPriority w:val="0"/>
    <w:rPr>
      <w:rFonts w:ascii="Tahoma" w:hAnsi="Tahoma"/>
      <w:sz w:val="28"/>
      <w:szCs w:val="20"/>
    </w:rPr>
  </w:style>
  <w:style w:type="paragraph" w:customStyle="1" w:styleId="199">
    <w:name w:val="Char3"/>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200">
    <w:name w:val="列出段落4"/>
    <w:basedOn w:val="1"/>
    <w:qFormat/>
    <w:uiPriority w:val="0"/>
    <w:pPr>
      <w:ind w:firstLine="420" w:firstLineChars="200"/>
      <w:jc w:val="left"/>
    </w:pPr>
    <w:rPr>
      <w:sz w:val="24"/>
      <w:szCs w:val="21"/>
    </w:rPr>
  </w:style>
  <w:style w:type="paragraph" w:customStyle="1" w:styleId="201">
    <w:name w:val="_Style 194"/>
    <w:basedOn w:val="1"/>
    <w:next w:val="68"/>
    <w:qFormat/>
    <w:uiPriority w:val="34"/>
    <w:pPr>
      <w:ind w:firstLine="420" w:firstLineChars="200"/>
    </w:pPr>
    <w:rPr>
      <w:rFonts w:ascii="Calibri" w:hAnsi="Calibri"/>
      <w:szCs w:val="22"/>
    </w:rPr>
  </w:style>
  <w:style w:type="character" w:customStyle="1" w:styleId="202">
    <w:name w:val="scroll-up"/>
    <w:basedOn w:val="37"/>
    <w:qFormat/>
    <w:uiPriority w:val="0"/>
    <w:rPr>
      <w:vanish/>
    </w:rPr>
  </w:style>
  <w:style w:type="character" w:customStyle="1" w:styleId="203">
    <w:name w:val="news_meta6"/>
    <w:basedOn w:val="37"/>
    <w:qFormat/>
    <w:uiPriority w:val="0"/>
  </w:style>
  <w:style w:type="character" w:customStyle="1" w:styleId="204">
    <w:name w:val="before2"/>
    <w:basedOn w:val="37"/>
    <w:qFormat/>
    <w:uiPriority w:val="0"/>
    <w:rPr>
      <w:bdr w:val="single" w:color="1E2736" w:sz="48" w:space="0"/>
    </w:rPr>
  </w:style>
  <w:style w:type="character" w:customStyle="1" w:styleId="205">
    <w:name w:val="current"/>
    <w:basedOn w:val="37"/>
    <w:qFormat/>
    <w:uiPriority w:val="0"/>
    <w:rPr>
      <w:b/>
      <w:color w:val="FFFFFF"/>
      <w:bdr w:val="single" w:color="D9D300" w:sz="6" w:space="0"/>
      <w:shd w:val="clear" w:color="auto" w:fill="D9D300"/>
    </w:rPr>
  </w:style>
  <w:style w:type="character" w:customStyle="1" w:styleId="206">
    <w:name w:val="tp"/>
    <w:basedOn w:val="37"/>
    <w:qFormat/>
    <w:uiPriority w:val="0"/>
    <w:rPr>
      <w:b/>
      <w:color w:val="000000"/>
      <w:sz w:val="24"/>
      <w:szCs w:val="24"/>
    </w:rPr>
  </w:style>
  <w:style w:type="character" w:customStyle="1" w:styleId="207">
    <w:name w:val="scroll-up-arrow"/>
    <w:basedOn w:val="37"/>
    <w:qFormat/>
    <w:uiPriority w:val="0"/>
  </w:style>
  <w:style w:type="character" w:customStyle="1" w:styleId="208">
    <w:name w:val="cut"/>
    <w:basedOn w:val="37"/>
    <w:qFormat/>
    <w:uiPriority w:val="0"/>
    <w:rPr>
      <w:vanish/>
    </w:rPr>
  </w:style>
  <w:style w:type="character" w:customStyle="1" w:styleId="209">
    <w:name w:val="news_title6"/>
    <w:basedOn w:val="37"/>
    <w:qFormat/>
    <w:uiPriority w:val="0"/>
  </w:style>
  <w:style w:type="character" w:customStyle="1" w:styleId="210">
    <w:name w:val="hover74"/>
    <w:basedOn w:val="37"/>
    <w:qFormat/>
    <w:uiPriority w:val="0"/>
  </w:style>
  <w:style w:type="character" w:customStyle="1" w:styleId="211">
    <w:name w:val="hover72"/>
    <w:basedOn w:val="37"/>
    <w:qFormat/>
    <w:uiPriority w:val="0"/>
    <w:rPr>
      <w:color w:val="900A19"/>
      <w:u w:val="single"/>
    </w:rPr>
  </w:style>
  <w:style w:type="character" w:customStyle="1" w:styleId="212">
    <w:name w:val="scroll-down"/>
    <w:basedOn w:val="37"/>
    <w:qFormat/>
    <w:uiPriority w:val="0"/>
    <w:rPr>
      <w:vanish/>
    </w:rPr>
  </w:style>
  <w:style w:type="character" w:customStyle="1" w:styleId="213">
    <w:name w:val="disabled"/>
    <w:basedOn w:val="37"/>
    <w:qFormat/>
    <w:uiPriority w:val="0"/>
    <w:rPr>
      <w:color w:val="DDDDDD"/>
      <w:bdr w:val="single" w:color="EEEEEE" w:sz="6" w:space="0"/>
    </w:rPr>
  </w:style>
  <w:style w:type="character" w:customStyle="1" w:styleId="214">
    <w:name w:val="scroll-down-arrow"/>
    <w:basedOn w:val="37"/>
    <w:qFormat/>
    <w:uiPriority w:val="0"/>
  </w:style>
  <w:style w:type="character" w:customStyle="1" w:styleId="215">
    <w:name w:val="current4"/>
    <w:basedOn w:val="37"/>
    <w:qFormat/>
    <w:uiPriority w:val="0"/>
    <w:rPr>
      <w:b/>
      <w:color w:val="FFFFFF"/>
      <w:bdr w:val="single" w:color="D9D300" w:sz="6" w:space="0"/>
      <w:shd w:val="clear" w:color="auto" w:fill="D9D300"/>
    </w:rPr>
  </w:style>
  <w:style w:type="character" w:customStyle="1" w:styleId="216">
    <w:name w:val="news_title"/>
    <w:basedOn w:val="37"/>
    <w:qFormat/>
    <w:uiPriority w:val="0"/>
  </w:style>
  <w:style w:type="character" w:customStyle="1" w:styleId="217">
    <w:name w:val="news_meta"/>
    <w:basedOn w:val="37"/>
    <w:qFormat/>
    <w:uiPriority w:val="0"/>
  </w:style>
  <w:style w:type="character" w:customStyle="1" w:styleId="218">
    <w:name w:val="hover73"/>
    <w:basedOn w:val="37"/>
    <w:qFormat/>
    <w:uiPriority w:val="0"/>
    <w:rPr>
      <w:color w:val="900A19"/>
      <w:u w:val="single"/>
    </w:rPr>
  </w:style>
  <w:style w:type="character" w:customStyle="1" w:styleId="219">
    <w:name w:val="newspan"/>
    <w:basedOn w:val="37"/>
    <w:qFormat/>
    <w:uiPriority w:val="0"/>
    <w:rPr>
      <w:color w:val="2BA216"/>
      <w:sz w:val="31"/>
      <w:szCs w:val="31"/>
    </w:rPr>
  </w:style>
  <w:style w:type="paragraph" w:customStyle="1" w:styleId="220">
    <w:name w:val="Char Char3"/>
    <w:basedOn w:val="1"/>
    <w:qFormat/>
    <w:uiPriority w:val="0"/>
    <w:rPr>
      <w:szCs w:val="20"/>
    </w:rPr>
  </w:style>
  <w:style w:type="paragraph" w:customStyle="1" w:styleId="221">
    <w:name w:val="评3级标"/>
    <w:basedOn w:val="155"/>
    <w:qFormat/>
    <w:uiPriority w:val="0"/>
    <w:pPr>
      <w:ind w:firstLine="0" w:firstLineChars="0"/>
    </w:pPr>
    <w:rPr>
      <w:rFonts w:eastAsia="黑体"/>
      <w:b/>
      <w:color w:val="000000"/>
    </w:rPr>
  </w:style>
  <w:style w:type="paragraph" w:customStyle="1" w:styleId="222">
    <w:name w:val="方案正文"/>
    <w:basedOn w:val="1"/>
    <w:qFormat/>
    <w:uiPriority w:val="0"/>
    <w:pPr>
      <w:spacing w:line="440" w:lineRule="exact"/>
      <w:ind w:firstLine="560" w:firstLineChars="200"/>
    </w:pPr>
    <w:rPr>
      <w:rFonts w:ascii="仿宋_GB2312" w:hAnsi="仿宋_GB2312" w:cs="宋体"/>
      <w:sz w:val="28"/>
      <w:szCs w:val="28"/>
    </w:rPr>
  </w:style>
  <w:style w:type="table" w:customStyle="1" w:styleId="223">
    <w:name w:val="网格型2"/>
    <w:basedOn w:val="3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表 5 深色 - 着色 41"/>
    <w:basedOn w:val="3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paragraph" w:customStyle="1" w:styleId="22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6">
    <w:name w:val="Decimal Aligned"/>
    <w:basedOn w:val="1"/>
    <w:qFormat/>
    <w:uiPriority w:val="40"/>
    <w:pPr>
      <w:widowControl/>
      <w:tabs>
        <w:tab w:val="decimal" w:pos="360"/>
      </w:tabs>
      <w:spacing w:after="200" w:line="276" w:lineRule="auto"/>
      <w:jc w:val="left"/>
    </w:pPr>
    <w:rPr>
      <w:rFonts w:asciiTheme="minorHAnsi" w:hAnsiTheme="minorHAnsi" w:eastAsiaTheme="minorEastAsia"/>
      <w:kern w:val="0"/>
      <w:sz w:val="22"/>
      <w:szCs w:val="22"/>
    </w:rPr>
  </w:style>
  <w:style w:type="character" w:customStyle="1" w:styleId="227">
    <w:name w:val="不明显强调1"/>
    <w:basedOn w:val="37"/>
    <w:qFormat/>
    <w:uiPriority w:val="19"/>
    <w:rPr>
      <w:i/>
      <w:iCs/>
    </w:rPr>
  </w:style>
  <w:style w:type="paragraph" w:customStyle="1" w:styleId="228">
    <w:name w:val="font9"/>
    <w:basedOn w:val="1"/>
    <w:qFormat/>
    <w:uiPriority w:val="0"/>
    <w:pPr>
      <w:widowControl/>
      <w:spacing w:before="100" w:beforeAutospacing="1" w:after="100" w:afterAutospacing="1"/>
      <w:jc w:val="left"/>
    </w:pPr>
    <w:rPr>
      <w:rFonts w:ascii="仿宋_GB2312" w:hAnsi="宋体" w:eastAsia="仿宋_GB2312" w:cs="宋体"/>
      <w:b/>
      <w:bCs/>
      <w:kern w:val="0"/>
      <w:sz w:val="22"/>
      <w:szCs w:val="22"/>
    </w:rPr>
  </w:style>
  <w:style w:type="paragraph" w:customStyle="1" w:styleId="229">
    <w:name w:val="font10"/>
    <w:basedOn w:val="1"/>
    <w:qFormat/>
    <w:uiPriority w:val="0"/>
    <w:pPr>
      <w:widowControl/>
      <w:spacing w:before="100" w:beforeAutospacing="1" w:after="100" w:afterAutospacing="1"/>
      <w:jc w:val="left"/>
    </w:pPr>
    <w:rPr>
      <w:b/>
      <w:bCs/>
      <w:kern w:val="0"/>
      <w:sz w:val="22"/>
      <w:szCs w:val="22"/>
    </w:rPr>
  </w:style>
  <w:style w:type="paragraph" w:customStyle="1" w:styleId="230">
    <w:name w:val="font12"/>
    <w:basedOn w:val="1"/>
    <w:qFormat/>
    <w:uiPriority w:val="0"/>
    <w:pPr>
      <w:widowControl/>
      <w:spacing w:before="100" w:beforeAutospacing="1" w:after="100" w:afterAutospacing="1"/>
      <w:jc w:val="left"/>
    </w:pPr>
    <w:rPr>
      <w:rFonts w:ascii="仿宋_GB2312" w:hAnsi="宋体" w:eastAsia="仿宋_GB2312" w:cs="宋体"/>
      <w:b/>
      <w:bCs/>
      <w:kern w:val="0"/>
      <w:sz w:val="20"/>
      <w:szCs w:val="20"/>
    </w:rPr>
  </w:style>
  <w:style w:type="paragraph" w:customStyle="1" w:styleId="23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32">
    <w:name w:val="xl68"/>
    <w:basedOn w:val="1"/>
    <w:uiPriority w:val="0"/>
    <w:pPr>
      <w:widowControl/>
      <w:spacing w:before="100" w:beforeAutospacing="1" w:after="100" w:afterAutospacing="1"/>
      <w:jc w:val="left"/>
    </w:pPr>
    <w:rPr>
      <w:kern w:val="0"/>
      <w:sz w:val="28"/>
      <w:szCs w:val="28"/>
    </w:rPr>
  </w:style>
  <w:style w:type="paragraph" w:customStyle="1" w:styleId="23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3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3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36">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23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3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4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41">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42">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43">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44">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4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46">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47">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8">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49">
    <w:name w:val="xl85"/>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50">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51">
    <w:name w:val="xl8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252">
    <w:name w:val="xl88"/>
    <w:basedOn w:val="1"/>
    <w:uiPriority w:val="0"/>
    <w:pPr>
      <w:widowControl/>
      <w:pBdr>
        <w:top w:val="single" w:color="auto" w:sz="4" w:space="0"/>
        <w:bottom w:val="single" w:color="auto" w:sz="4" w:space="0"/>
      </w:pBdr>
      <w:spacing w:before="100" w:beforeAutospacing="1" w:after="100" w:afterAutospacing="1"/>
      <w:jc w:val="center"/>
    </w:pPr>
    <w:rPr>
      <w:kern w:val="0"/>
      <w:sz w:val="20"/>
      <w:szCs w:val="20"/>
    </w:rPr>
  </w:style>
  <w:style w:type="paragraph" w:customStyle="1" w:styleId="253">
    <w:name w:val="xl8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54">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0"/>
      <w:szCs w:val="20"/>
    </w:rPr>
  </w:style>
  <w:style w:type="paragraph" w:customStyle="1" w:styleId="255">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56">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57">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258">
    <w:name w:val="reader-word-layer reader-word-s2-15"/>
    <w:basedOn w:val="1"/>
    <w:uiPriority w:val="0"/>
    <w:pPr>
      <w:widowControl/>
      <w:spacing w:before="100" w:beforeAutospacing="1" w:after="100" w:afterAutospacing="1"/>
      <w:jc w:val="left"/>
    </w:pPr>
    <w:rPr>
      <w:rFonts w:ascii="宋体" w:hAnsi="宋体" w:cs="宋体"/>
      <w:kern w:val="0"/>
      <w:sz w:val="24"/>
    </w:rPr>
  </w:style>
  <w:style w:type="character" w:customStyle="1" w:styleId="259">
    <w:name w:val="Comment Text Char"/>
    <w:locked/>
    <w:uiPriority w:val="0"/>
    <w:rPr>
      <w:rFonts w:eastAsia="宋体"/>
      <w:kern w:val="2"/>
      <w:sz w:val="24"/>
      <w:szCs w:val="24"/>
      <w:lang w:val="en-US" w:eastAsia="zh-CN" w:bidi="ar-SA"/>
    </w:rPr>
  </w:style>
  <w:style w:type="paragraph" w:customStyle="1" w:styleId="260">
    <w:name w:val="Char Char Char Char"/>
    <w:basedOn w:val="1"/>
    <w:uiPriority w:val="0"/>
    <w:rPr>
      <w:rFonts w:ascii="宋体" w:hAnsi="宋体" w:cs="Courier New"/>
      <w:sz w:val="32"/>
      <w:szCs w:val="32"/>
    </w:rPr>
  </w:style>
  <w:style w:type="paragraph" w:customStyle="1" w:styleId="261">
    <w:name w:val="Char Char Char Char Char Char Char Char Char5"/>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62">
    <w:name w:val="Char6 Char Char Char5"/>
    <w:basedOn w:val="1"/>
    <w:uiPriority w:val="0"/>
    <w:rPr>
      <w:rFonts w:ascii="Tahoma" w:hAnsi="Tahoma"/>
      <w:sz w:val="28"/>
      <w:szCs w:val="20"/>
    </w:rPr>
  </w:style>
  <w:style w:type="character" w:customStyle="1" w:styleId="263">
    <w:name w:val="页眉字符1"/>
    <w:basedOn w:val="37"/>
    <w:semiHidden/>
    <w:uiPriority w:val="99"/>
    <w:rPr>
      <w:rFonts w:ascii="Times" w:hAnsi="Times" w:eastAsia="宋体" w:cs="Times New Roman"/>
      <w:sz w:val="18"/>
      <w:szCs w:val="18"/>
    </w:rPr>
  </w:style>
  <w:style w:type="paragraph" w:customStyle="1" w:styleId="264">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AFD4E-C1EE-4E75-B768-03704DCF540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2625</Words>
  <Characters>14963</Characters>
  <Lines>124</Lines>
  <Paragraphs>35</Paragraphs>
  <TotalTime>2</TotalTime>
  <ScaleCrop>false</ScaleCrop>
  <LinksUpToDate>false</LinksUpToDate>
  <CharactersWithSpaces>17553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2019-12-24T01:55:00Z</dcterms:created>
  <dc:creator>01</dc:creator>
  <cp:lastModifiedBy>荻歌</cp:lastModifiedBy>
  <cp:lastPrinted>2020-11-30T08:28:00Z</cp:lastPrinted>
  <dcterms:modified xsi:type="dcterms:W3CDTF">2020-12-27T15:45:39Z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